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401" w:rsidRPr="006B5E0E" w:rsidRDefault="00E03C57" w:rsidP="006B5E0E">
      <w:pPr>
        <w:pStyle w:val="Heading2"/>
        <w:spacing w:line="480" w:lineRule="auto"/>
        <w:jc w:val="center"/>
        <w:rPr>
          <w:rFonts w:ascii="Times New Roman" w:hAnsi="Times New Roman" w:cs="Times New Roman"/>
          <w:sz w:val="24"/>
          <w:szCs w:val="24"/>
        </w:rPr>
      </w:pPr>
      <w:bookmarkStart w:id="0" w:name="_GoBack"/>
      <w:bookmarkEnd w:id="0"/>
      <w:r w:rsidRPr="006B5E0E">
        <w:rPr>
          <w:rFonts w:ascii="Times New Roman" w:hAnsi="Times New Roman"/>
        </w:rPr>
        <w:t xml:space="preserve">Source of Wealth based </w:t>
      </w:r>
      <w:r>
        <w:rPr>
          <w:rFonts w:ascii="Times New Roman" w:hAnsi="Times New Roman"/>
        </w:rPr>
        <w:t xml:space="preserve">4Es </w:t>
      </w:r>
      <w:r w:rsidRPr="006B5E0E">
        <w:rPr>
          <w:rFonts w:ascii="Times New Roman" w:hAnsi="Times New Roman"/>
        </w:rPr>
        <w:t xml:space="preserve">Segmentation </w:t>
      </w:r>
      <w:r>
        <w:rPr>
          <w:rFonts w:ascii="Times New Roman" w:hAnsi="Times New Roman"/>
        </w:rPr>
        <w:t xml:space="preserve">of </w:t>
      </w:r>
      <w:r w:rsidRPr="006B5E0E">
        <w:rPr>
          <w:rFonts w:ascii="Times New Roman" w:hAnsi="Times New Roman"/>
        </w:rPr>
        <w:t>Private Banking Clients</w:t>
      </w:r>
    </w:p>
    <w:p w:rsidR="00202E81" w:rsidRDefault="00202E81" w:rsidP="00202E81">
      <w:pPr>
        <w:spacing w:line="480" w:lineRule="auto"/>
        <w:jc w:val="center"/>
        <w:rPr>
          <w:rFonts w:ascii="Times New Roman" w:hAnsi="Times New Roman"/>
          <w:sz w:val="24"/>
          <w:szCs w:val="24"/>
        </w:rPr>
      </w:pPr>
      <w:r>
        <w:rPr>
          <w:rFonts w:ascii="Times New Roman" w:hAnsi="Times New Roman"/>
          <w:sz w:val="24"/>
          <w:szCs w:val="24"/>
        </w:rPr>
        <w:t>Robert Armstrong, University of North Alabama</w:t>
      </w:r>
      <w:r w:rsidRPr="00202E81">
        <w:rPr>
          <w:rFonts w:ascii="Times New Roman" w:hAnsi="Times New Roman"/>
          <w:sz w:val="24"/>
          <w:szCs w:val="24"/>
          <w:vertAlign w:val="superscript"/>
        </w:rPr>
        <w:t>1</w:t>
      </w:r>
    </w:p>
    <w:p w:rsidR="00202E81" w:rsidRDefault="00202E81" w:rsidP="00202E81">
      <w:pPr>
        <w:spacing w:line="480" w:lineRule="auto"/>
        <w:jc w:val="center"/>
        <w:rPr>
          <w:rFonts w:ascii="Times New Roman" w:hAnsi="Times New Roman"/>
          <w:sz w:val="24"/>
          <w:szCs w:val="24"/>
        </w:rPr>
      </w:pPr>
      <w:r>
        <w:rPr>
          <w:rFonts w:ascii="Times New Roman" w:hAnsi="Times New Roman"/>
          <w:sz w:val="24"/>
          <w:szCs w:val="24"/>
        </w:rPr>
        <w:t>Ron Chung, University of North Alabama</w:t>
      </w:r>
    </w:p>
    <w:p w:rsidR="00202E81" w:rsidRPr="00202E81" w:rsidRDefault="00202E81" w:rsidP="00202E81">
      <w:pPr>
        <w:spacing w:line="480" w:lineRule="auto"/>
        <w:jc w:val="center"/>
        <w:rPr>
          <w:rFonts w:ascii="Times New Roman" w:hAnsi="Times New Roman"/>
          <w:sz w:val="24"/>
          <w:szCs w:val="24"/>
        </w:rPr>
      </w:pPr>
      <w:r>
        <w:rPr>
          <w:rFonts w:ascii="Times New Roman" w:hAnsi="Times New Roman"/>
          <w:sz w:val="24"/>
          <w:szCs w:val="24"/>
        </w:rPr>
        <w:t>Alice Chung, University of North Alabama</w:t>
      </w:r>
    </w:p>
    <w:p w:rsidR="00202E81" w:rsidRDefault="00202E81" w:rsidP="00360C3D">
      <w:pPr>
        <w:spacing w:line="480" w:lineRule="auto"/>
        <w:rPr>
          <w:rFonts w:ascii="Times New Roman" w:hAnsi="Times New Roman"/>
          <w:b/>
          <w:sz w:val="24"/>
          <w:szCs w:val="24"/>
        </w:rPr>
      </w:pPr>
    </w:p>
    <w:p w:rsidR="00202E81" w:rsidRDefault="00202E81" w:rsidP="00360C3D">
      <w:pPr>
        <w:spacing w:line="480" w:lineRule="auto"/>
        <w:rPr>
          <w:rFonts w:ascii="Times New Roman" w:hAnsi="Times New Roman"/>
          <w:b/>
          <w:sz w:val="24"/>
          <w:szCs w:val="24"/>
        </w:rPr>
      </w:pPr>
    </w:p>
    <w:p w:rsidR="00360C3D" w:rsidRPr="0024704D" w:rsidRDefault="00360C3D" w:rsidP="00360C3D">
      <w:pPr>
        <w:spacing w:line="480" w:lineRule="auto"/>
        <w:rPr>
          <w:rFonts w:ascii="Times New Roman" w:hAnsi="Times New Roman"/>
          <w:b/>
          <w:sz w:val="24"/>
          <w:szCs w:val="24"/>
        </w:rPr>
      </w:pPr>
      <w:r w:rsidRPr="006B5E0E">
        <w:rPr>
          <w:rFonts w:ascii="Times New Roman" w:hAnsi="Times New Roman"/>
          <w:b/>
          <w:sz w:val="24"/>
          <w:szCs w:val="24"/>
        </w:rPr>
        <w:t>Abstract</w:t>
      </w:r>
    </w:p>
    <w:p w:rsidR="00360C3D" w:rsidRDefault="00360C3D" w:rsidP="00360C3D">
      <w:pPr>
        <w:spacing w:line="480" w:lineRule="auto"/>
        <w:rPr>
          <w:rFonts w:ascii="Times New Roman" w:hAnsi="Times New Roman"/>
          <w:sz w:val="24"/>
          <w:szCs w:val="24"/>
        </w:rPr>
      </w:pPr>
      <w:r w:rsidRPr="006B5E0E">
        <w:rPr>
          <w:rFonts w:ascii="Times New Roman" w:hAnsi="Times New Roman"/>
          <w:sz w:val="24"/>
          <w:szCs w:val="24"/>
        </w:rPr>
        <w:t xml:space="preserve">The understanding of private banks (i.e., banks that serve private clients rather than privately held banks) is limited, partly due to its “private” nature.  To get an initial understanding of the </w:t>
      </w:r>
      <w:r>
        <w:rPr>
          <w:rFonts w:ascii="Times New Roman" w:hAnsi="Times New Roman"/>
          <w:sz w:val="24"/>
          <w:szCs w:val="24"/>
        </w:rPr>
        <w:t>segmentation of clients using</w:t>
      </w:r>
      <w:r w:rsidRPr="006B5E0E">
        <w:rPr>
          <w:rFonts w:ascii="Times New Roman" w:hAnsi="Times New Roman"/>
          <w:sz w:val="24"/>
          <w:szCs w:val="24"/>
        </w:rPr>
        <w:t xml:space="preserve"> private banking, this paper tracks the evolution of the private banking business from when it was first established in Europe to the private banking needs of entrepreneurs of the “new economy” and from Asia. </w:t>
      </w:r>
      <w:r>
        <w:rPr>
          <w:rFonts w:ascii="Times New Roman" w:hAnsi="Times New Roman"/>
          <w:sz w:val="24"/>
          <w:szCs w:val="24"/>
        </w:rPr>
        <w:t>Specifically, this</w:t>
      </w:r>
      <w:r w:rsidRPr="006B5E0E">
        <w:rPr>
          <w:rFonts w:ascii="Times New Roman" w:hAnsi="Times New Roman"/>
          <w:sz w:val="24"/>
          <w:szCs w:val="24"/>
        </w:rPr>
        <w:t xml:space="preserve"> paper</w:t>
      </w:r>
      <w:r>
        <w:rPr>
          <w:rFonts w:ascii="Times New Roman" w:hAnsi="Times New Roman"/>
          <w:sz w:val="24"/>
          <w:szCs w:val="24"/>
        </w:rPr>
        <w:t xml:space="preserve"> evaluates how private banking services can be effectively segmented based on client behavior.</w:t>
      </w:r>
    </w:p>
    <w:p w:rsidR="00360C3D" w:rsidRDefault="00360C3D" w:rsidP="00360C3D">
      <w:pPr>
        <w:spacing w:line="480" w:lineRule="auto"/>
        <w:rPr>
          <w:rFonts w:ascii="Times New Roman" w:hAnsi="Times New Roman"/>
          <w:sz w:val="24"/>
          <w:szCs w:val="24"/>
        </w:rPr>
      </w:pPr>
      <w:r w:rsidRPr="003E7CC4">
        <w:rPr>
          <w:rFonts w:ascii="Times New Roman" w:hAnsi="Times New Roman"/>
          <w:b/>
          <w:sz w:val="24"/>
          <w:szCs w:val="24"/>
        </w:rPr>
        <w:t>Key words</w:t>
      </w:r>
    </w:p>
    <w:p w:rsidR="00360C3D" w:rsidRPr="006B5E0E" w:rsidRDefault="00360C3D" w:rsidP="00360C3D">
      <w:pPr>
        <w:spacing w:line="480" w:lineRule="auto"/>
        <w:rPr>
          <w:rFonts w:ascii="Times New Roman" w:eastAsia="Times New Roman" w:hAnsi="Times New Roman"/>
          <w:color w:val="000000"/>
          <w:sz w:val="24"/>
          <w:szCs w:val="24"/>
          <w:shd w:val="clear" w:color="auto" w:fill="F6F6F6"/>
          <w:lang w:eastAsia="en-US"/>
        </w:rPr>
      </w:pPr>
      <w:r>
        <w:rPr>
          <w:rFonts w:ascii="Times New Roman" w:hAnsi="Times New Roman"/>
          <w:sz w:val="24"/>
          <w:szCs w:val="24"/>
        </w:rPr>
        <w:t xml:space="preserve">Market segmentation, Bank marketing, </w:t>
      </w:r>
      <w:proofErr w:type="gramStart"/>
      <w:r>
        <w:rPr>
          <w:rFonts w:ascii="Times New Roman" w:hAnsi="Times New Roman"/>
          <w:sz w:val="24"/>
          <w:szCs w:val="24"/>
        </w:rPr>
        <w:t>Private</w:t>
      </w:r>
      <w:proofErr w:type="gramEnd"/>
      <w:r>
        <w:rPr>
          <w:rFonts w:ascii="Times New Roman" w:hAnsi="Times New Roman"/>
          <w:sz w:val="24"/>
          <w:szCs w:val="24"/>
        </w:rPr>
        <w:t xml:space="preserve"> banking</w:t>
      </w:r>
    </w:p>
    <w:p w:rsidR="00202E81" w:rsidRDefault="00202E81" w:rsidP="00360C3D">
      <w:pPr>
        <w:spacing w:after="0"/>
        <w:rPr>
          <w:rFonts w:ascii="Times New Roman" w:hAnsi="Times New Roman"/>
          <w:b/>
          <w:sz w:val="24"/>
          <w:szCs w:val="24"/>
        </w:rPr>
      </w:pPr>
    </w:p>
    <w:p w:rsidR="00202E81" w:rsidRDefault="00202E81" w:rsidP="00360C3D">
      <w:pPr>
        <w:spacing w:after="0"/>
        <w:rPr>
          <w:rFonts w:ascii="Times New Roman" w:hAnsi="Times New Roman"/>
          <w:b/>
          <w:sz w:val="24"/>
          <w:szCs w:val="24"/>
        </w:rPr>
      </w:pPr>
    </w:p>
    <w:p w:rsidR="00202E81" w:rsidRDefault="00202E81" w:rsidP="00360C3D">
      <w:pPr>
        <w:spacing w:after="0"/>
        <w:rPr>
          <w:rFonts w:ascii="Times New Roman" w:hAnsi="Times New Roman"/>
          <w:b/>
          <w:sz w:val="24"/>
          <w:szCs w:val="24"/>
        </w:rPr>
      </w:pPr>
    </w:p>
    <w:p w:rsidR="00202E81" w:rsidRDefault="00202E81" w:rsidP="00360C3D">
      <w:pPr>
        <w:spacing w:after="0"/>
        <w:rPr>
          <w:rFonts w:ascii="Times New Roman" w:hAnsi="Times New Roman"/>
          <w:b/>
          <w:sz w:val="24"/>
          <w:szCs w:val="24"/>
        </w:rPr>
      </w:pPr>
    </w:p>
    <w:p w:rsidR="00202E81" w:rsidRDefault="00202E81" w:rsidP="00360C3D">
      <w:pPr>
        <w:spacing w:after="0"/>
        <w:rPr>
          <w:rFonts w:ascii="Times New Roman" w:hAnsi="Times New Roman"/>
          <w:b/>
          <w:sz w:val="24"/>
          <w:szCs w:val="24"/>
        </w:rPr>
      </w:pPr>
    </w:p>
    <w:p w:rsidR="00202E81" w:rsidRDefault="00202E81" w:rsidP="00360C3D">
      <w:pPr>
        <w:spacing w:after="0"/>
        <w:rPr>
          <w:rFonts w:ascii="Times New Roman" w:hAnsi="Times New Roman"/>
          <w:b/>
          <w:sz w:val="24"/>
          <w:szCs w:val="24"/>
        </w:rPr>
      </w:pPr>
    </w:p>
    <w:p w:rsidR="00202E81" w:rsidRPr="00202E81" w:rsidRDefault="00202E81" w:rsidP="00360C3D">
      <w:pPr>
        <w:spacing w:after="0"/>
        <w:rPr>
          <w:rFonts w:ascii="Times New Roman" w:hAnsi="Times New Roman"/>
          <w:sz w:val="18"/>
          <w:szCs w:val="18"/>
        </w:rPr>
      </w:pPr>
      <w:r w:rsidRPr="00202E81">
        <w:rPr>
          <w:rFonts w:ascii="Times New Roman" w:hAnsi="Times New Roman"/>
          <w:sz w:val="18"/>
          <w:szCs w:val="18"/>
        </w:rPr>
        <w:t>1 Corresponding Author: rwarmstrong@una.edu</w:t>
      </w:r>
    </w:p>
    <w:p w:rsidR="00C863EC" w:rsidRPr="00DD6FAC" w:rsidRDefault="00C863EC" w:rsidP="00DD6FAC">
      <w:pPr>
        <w:spacing w:line="480" w:lineRule="auto"/>
        <w:jc w:val="both"/>
        <w:rPr>
          <w:rFonts w:ascii="Times New Roman" w:hAnsi="Times New Roman"/>
          <w:b/>
          <w:i/>
          <w:sz w:val="24"/>
          <w:szCs w:val="24"/>
        </w:rPr>
      </w:pPr>
      <w:r w:rsidRPr="00DD6FAC">
        <w:rPr>
          <w:rFonts w:ascii="Times New Roman" w:hAnsi="Times New Roman"/>
          <w:b/>
          <w:i/>
          <w:sz w:val="24"/>
          <w:szCs w:val="24"/>
        </w:rPr>
        <w:lastRenderedPageBreak/>
        <w:t>Introduction</w:t>
      </w:r>
    </w:p>
    <w:p w:rsidR="003D4A9B" w:rsidRPr="00DD6FAC" w:rsidRDefault="001B45D6" w:rsidP="00DD6FAC">
      <w:pPr>
        <w:spacing w:line="480" w:lineRule="auto"/>
        <w:jc w:val="both"/>
        <w:rPr>
          <w:rFonts w:ascii="Times New Roman" w:hAnsi="Times New Roman"/>
          <w:sz w:val="24"/>
          <w:szCs w:val="24"/>
        </w:rPr>
      </w:pPr>
      <w:r w:rsidRPr="00DD6FAC">
        <w:rPr>
          <w:rFonts w:ascii="Times New Roman" w:hAnsi="Times New Roman"/>
          <w:sz w:val="24"/>
          <w:szCs w:val="24"/>
        </w:rPr>
        <w:t>In the area of banking research, t</w:t>
      </w:r>
      <w:r w:rsidR="006C75B4" w:rsidRPr="00DD6FAC">
        <w:rPr>
          <w:rFonts w:ascii="Times New Roman" w:hAnsi="Times New Roman"/>
          <w:sz w:val="24"/>
          <w:szCs w:val="24"/>
        </w:rPr>
        <w:t xml:space="preserve">here </w:t>
      </w:r>
      <w:r w:rsidRPr="00DD6FAC">
        <w:rPr>
          <w:rFonts w:ascii="Times New Roman" w:hAnsi="Times New Roman"/>
          <w:sz w:val="24"/>
          <w:szCs w:val="24"/>
        </w:rPr>
        <w:t xml:space="preserve">exists </w:t>
      </w:r>
      <w:r w:rsidR="006C75B4" w:rsidRPr="00DD6FAC">
        <w:rPr>
          <w:rFonts w:ascii="Times New Roman" w:hAnsi="Times New Roman"/>
          <w:sz w:val="24"/>
          <w:szCs w:val="24"/>
        </w:rPr>
        <w:t>a</w:t>
      </w:r>
      <w:r w:rsidRPr="00DD6FAC">
        <w:rPr>
          <w:rFonts w:ascii="Times New Roman" w:hAnsi="Times New Roman"/>
          <w:sz w:val="24"/>
          <w:szCs w:val="24"/>
        </w:rPr>
        <w:t>n</w:t>
      </w:r>
      <w:r w:rsidR="006C75B4" w:rsidRPr="00DD6FAC">
        <w:rPr>
          <w:rFonts w:ascii="Times New Roman" w:hAnsi="Times New Roman"/>
          <w:sz w:val="24"/>
          <w:szCs w:val="24"/>
        </w:rPr>
        <w:t xml:space="preserve"> </w:t>
      </w:r>
      <w:r w:rsidRPr="00DD6FAC">
        <w:rPr>
          <w:rFonts w:ascii="Times New Roman" w:hAnsi="Times New Roman"/>
          <w:sz w:val="24"/>
          <w:szCs w:val="24"/>
        </w:rPr>
        <w:t>abundance</w:t>
      </w:r>
      <w:r w:rsidR="006C75B4" w:rsidRPr="00DD6FAC">
        <w:rPr>
          <w:rFonts w:ascii="Times New Roman" w:hAnsi="Times New Roman"/>
          <w:sz w:val="24"/>
          <w:szCs w:val="24"/>
        </w:rPr>
        <w:t xml:space="preserve"> of </w:t>
      </w:r>
      <w:r w:rsidRPr="00DD6FAC">
        <w:rPr>
          <w:rFonts w:ascii="Times New Roman" w:hAnsi="Times New Roman"/>
          <w:sz w:val="24"/>
          <w:szCs w:val="24"/>
        </w:rPr>
        <w:t xml:space="preserve">literature </w:t>
      </w:r>
      <w:r w:rsidR="002A7D79">
        <w:rPr>
          <w:rFonts w:ascii="Times New Roman" w:hAnsi="Times New Roman"/>
          <w:sz w:val="24"/>
          <w:szCs w:val="24"/>
        </w:rPr>
        <w:t xml:space="preserve">performing analyses on </w:t>
      </w:r>
      <w:r w:rsidRPr="00DD6FAC">
        <w:rPr>
          <w:rFonts w:ascii="Times New Roman" w:hAnsi="Times New Roman"/>
          <w:sz w:val="24"/>
          <w:szCs w:val="24"/>
        </w:rPr>
        <w:t>ba</w:t>
      </w:r>
      <w:r w:rsidR="009C4E95">
        <w:rPr>
          <w:rFonts w:ascii="Times New Roman" w:hAnsi="Times New Roman"/>
          <w:sz w:val="24"/>
          <w:szCs w:val="24"/>
        </w:rPr>
        <w:t>nks as organizations that offer</w:t>
      </w:r>
      <w:r w:rsidRPr="00DD6FAC">
        <w:rPr>
          <w:rFonts w:ascii="Times New Roman" w:hAnsi="Times New Roman"/>
          <w:sz w:val="24"/>
          <w:szCs w:val="24"/>
        </w:rPr>
        <w:t xml:space="preserve"> products and services to customers as depositors.  </w:t>
      </w:r>
      <w:r w:rsidR="002A7D79">
        <w:rPr>
          <w:rFonts w:ascii="Times New Roman" w:hAnsi="Times New Roman"/>
          <w:sz w:val="24"/>
          <w:szCs w:val="24"/>
        </w:rPr>
        <w:t xml:space="preserve">Indeed, with these analyses, a key concern is how the mass depositors are served and protected.  </w:t>
      </w:r>
      <w:r w:rsidR="00ED57B7" w:rsidRPr="00DD6FAC">
        <w:rPr>
          <w:rFonts w:ascii="Times New Roman" w:hAnsi="Times New Roman"/>
          <w:sz w:val="24"/>
          <w:szCs w:val="24"/>
        </w:rPr>
        <w:t>Howe</w:t>
      </w:r>
      <w:r w:rsidR="009C4E95">
        <w:rPr>
          <w:rFonts w:ascii="Times New Roman" w:hAnsi="Times New Roman"/>
          <w:sz w:val="24"/>
          <w:szCs w:val="24"/>
        </w:rPr>
        <w:t>ver, the Glass-Steagall Act</w:t>
      </w:r>
      <w:r w:rsidR="00ED57B7" w:rsidRPr="00DD6FAC">
        <w:rPr>
          <w:rFonts w:ascii="Times New Roman" w:hAnsi="Times New Roman"/>
          <w:sz w:val="24"/>
          <w:szCs w:val="24"/>
        </w:rPr>
        <w:t xml:space="preserve"> </w:t>
      </w:r>
      <w:r w:rsidR="002A7D79">
        <w:rPr>
          <w:rFonts w:ascii="Times New Roman" w:hAnsi="Times New Roman"/>
          <w:sz w:val="24"/>
          <w:szCs w:val="24"/>
        </w:rPr>
        <w:t xml:space="preserve">from circa </w:t>
      </w:r>
      <w:r w:rsidR="00ED57B7" w:rsidRPr="00DD6FAC">
        <w:rPr>
          <w:rFonts w:ascii="Times New Roman" w:hAnsi="Times New Roman"/>
          <w:sz w:val="24"/>
          <w:szCs w:val="24"/>
        </w:rPr>
        <w:t xml:space="preserve">a century ago clearly illustrated that “banks,” are more than just deposit taking organizations.  </w:t>
      </w:r>
      <w:r w:rsidR="002A7D79">
        <w:rPr>
          <w:rFonts w:ascii="Times New Roman" w:hAnsi="Times New Roman"/>
          <w:sz w:val="24"/>
          <w:szCs w:val="24"/>
        </w:rPr>
        <w:t>“B</w:t>
      </w:r>
      <w:r w:rsidR="002D7210" w:rsidRPr="00DD6FAC">
        <w:rPr>
          <w:rFonts w:ascii="Times New Roman" w:hAnsi="Times New Roman"/>
          <w:sz w:val="24"/>
          <w:szCs w:val="24"/>
        </w:rPr>
        <w:t xml:space="preserve">anks,” </w:t>
      </w:r>
      <w:r w:rsidR="009C4E95">
        <w:rPr>
          <w:rFonts w:ascii="Times New Roman" w:hAnsi="Times New Roman"/>
          <w:sz w:val="24"/>
          <w:szCs w:val="24"/>
        </w:rPr>
        <w:t xml:space="preserve">as defined </w:t>
      </w:r>
      <w:r w:rsidR="002A7D79">
        <w:rPr>
          <w:rFonts w:ascii="Times New Roman" w:hAnsi="Times New Roman"/>
          <w:sz w:val="24"/>
          <w:szCs w:val="24"/>
        </w:rPr>
        <w:t xml:space="preserve">along </w:t>
      </w:r>
      <w:r w:rsidR="00ED57B7" w:rsidRPr="00DD6FAC">
        <w:rPr>
          <w:rFonts w:ascii="Times New Roman" w:hAnsi="Times New Roman"/>
          <w:sz w:val="24"/>
          <w:szCs w:val="24"/>
        </w:rPr>
        <w:t xml:space="preserve">the </w:t>
      </w:r>
      <w:r w:rsidR="002A7D79">
        <w:rPr>
          <w:rFonts w:ascii="Times New Roman" w:hAnsi="Times New Roman"/>
          <w:sz w:val="24"/>
          <w:szCs w:val="24"/>
        </w:rPr>
        <w:t xml:space="preserve">line of the </w:t>
      </w:r>
      <w:r w:rsidR="00ED57B7" w:rsidRPr="00DD6FAC">
        <w:rPr>
          <w:rFonts w:ascii="Times New Roman" w:hAnsi="Times New Roman"/>
          <w:sz w:val="24"/>
          <w:szCs w:val="24"/>
        </w:rPr>
        <w:t xml:space="preserve">Glass-Steagall </w:t>
      </w:r>
      <w:r w:rsidR="009C4E95">
        <w:rPr>
          <w:rFonts w:ascii="Times New Roman" w:hAnsi="Times New Roman"/>
          <w:sz w:val="24"/>
          <w:szCs w:val="24"/>
        </w:rPr>
        <w:t>Act</w:t>
      </w:r>
      <w:r w:rsidR="00ED57B7" w:rsidRPr="00DD6FAC">
        <w:rPr>
          <w:rFonts w:ascii="Times New Roman" w:hAnsi="Times New Roman"/>
          <w:sz w:val="24"/>
          <w:szCs w:val="24"/>
        </w:rPr>
        <w:t xml:space="preserve"> </w:t>
      </w:r>
      <w:r w:rsidR="002D7210" w:rsidRPr="00DD6FAC">
        <w:rPr>
          <w:rFonts w:ascii="Times New Roman" w:hAnsi="Times New Roman"/>
          <w:sz w:val="24"/>
          <w:szCs w:val="24"/>
        </w:rPr>
        <w:t xml:space="preserve">include investment banks that focus on serving corporate clients in the </w:t>
      </w:r>
      <w:r w:rsidR="002A7D79">
        <w:rPr>
          <w:rFonts w:ascii="Times New Roman" w:hAnsi="Times New Roman"/>
          <w:sz w:val="24"/>
          <w:szCs w:val="24"/>
        </w:rPr>
        <w:t>“</w:t>
      </w:r>
      <w:r w:rsidR="002D7210" w:rsidRPr="00DD6FAC">
        <w:rPr>
          <w:rFonts w:ascii="Times New Roman" w:hAnsi="Times New Roman"/>
          <w:sz w:val="24"/>
          <w:szCs w:val="24"/>
        </w:rPr>
        <w:t xml:space="preserve">capital </w:t>
      </w:r>
      <w:r w:rsidR="002A7D79">
        <w:rPr>
          <w:rFonts w:ascii="Times New Roman" w:hAnsi="Times New Roman"/>
          <w:sz w:val="24"/>
          <w:szCs w:val="24"/>
        </w:rPr>
        <w:t xml:space="preserve">and investment” </w:t>
      </w:r>
      <w:r w:rsidR="002D7210" w:rsidRPr="00DD6FAC">
        <w:rPr>
          <w:rFonts w:ascii="Times New Roman" w:hAnsi="Times New Roman"/>
          <w:sz w:val="24"/>
          <w:szCs w:val="24"/>
        </w:rPr>
        <w:t>markets</w:t>
      </w:r>
      <w:r w:rsidR="002A7D79">
        <w:rPr>
          <w:rFonts w:ascii="Times New Roman" w:hAnsi="Times New Roman"/>
          <w:sz w:val="24"/>
          <w:szCs w:val="24"/>
        </w:rPr>
        <w:t xml:space="preserve"> and </w:t>
      </w:r>
      <w:r w:rsidR="002D7210" w:rsidRPr="00DD6FAC">
        <w:rPr>
          <w:rFonts w:ascii="Times New Roman" w:hAnsi="Times New Roman"/>
          <w:sz w:val="24"/>
          <w:szCs w:val="24"/>
        </w:rPr>
        <w:t xml:space="preserve">commercial banks that focus on serving smaller corporates and individual customers in the </w:t>
      </w:r>
      <w:r w:rsidR="002A7D79">
        <w:rPr>
          <w:rFonts w:ascii="Times New Roman" w:hAnsi="Times New Roman"/>
          <w:sz w:val="24"/>
          <w:szCs w:val="24"/>
        </w:rPr>
        <w:t>“</w:t>
      </w:r>
      <w:r w:rsidR="002D7210" w:rsidRPr="00DD6FAC">
        <w:rPr>
          <w:rFonts w:ascii="Times New Roman" w:hAnsi="Times New Roman"/>
          <w:sz w:val="24"/>
          <w:szCs w:val="24"/>
        </w:rPr>
        <w:t>loans and deposits</w:t>
      </w:r>
      <w:r w:rsidR="002A7D79">
        <w:rPr>
          <w:rFonts w:ascii="Times New Roman" w:hAnsi="Times New Roman"/>
          <w:sz w:val="24"/>
          <w:szCs w:val="24"/>
        </w:rPr>
        <w:t>”</w:t>
      </w:r>
      <w:r w:rsidR="002D7210" w:rsidRPr="00DD6FAC">
        <w:rPr>
          <w:rFonts w:ascii="Times New Roman" w:hAnsi="Times New Roman"/>
          <w:sz w:val="24"/>
          <w:szCs w:val="24"/>
        </w:rPr>
        <w:t xml:space="preserve"> markets.  </w:t>
      </w:r>
      <w:r w:rsidR="00F32190" w:rsidRPr="00DD6FAC">
        <w:rPr>
          <w:rFonts w:ascii="Times New Roman" w:hAnsi="Times New Roman"/>
          <w:sz w:val="24"/>
          <w:szCs w:val="24"/>
        </w:rPr>
        <w:t xml:space="preserve">Within </w:t>
      </w:r>
      <w:r w:rsidR="002D7210" w:rsidRPr="00DD6FAC">
        <w:rPr>
          <w:rFonts w:ascii="Times New Roman" w:hAnsi="Times New Roman"/>
          <w:sz w:val="24"/>
          <w:szCs w:val="24"/>
        </w:rPr>
        <w:t xml:space="preserve">the </w:t>
      </w:r>
      <w:r w:rsidR="00F32190" w:rsidRPr="00DD6FAC">
        <w:rPr>
          <w:rFonts w:ascii="Times New Roman" w:hAnsi="Times New Roman"/>
          <w:sz w:val="24"/>
          <w:szCs w:val="24"/>
        </w:rPr>
        <w:t>commercial banking</w:t>
      </w:r>
      <w:r w:rsidR="002D7210" w:rsidRPr="00DD6FAC">
        <w:rPr>
          <w:rFonts w:ascii="Times New Roman" w:hAnsi="Times New Roman"/>
          <w:sz w:val="24"/>
          <w:szCs w:val="24"/>
        </w:rPr>
        <w:t xml:space="preserve"> segment</w:t>
      </w:r>
      <w:r w:rsidR="00F32190" w:rsidRPr="00DD6FAC">
        <w:rPr>
          <w:rFonts w:ascii="Times New Roman" w:hAnsi="Times New Roman"/>
          <w:sz w:val="24"/>
          <w:szCs w:val="24"/>
        </w:rPr>
        <w:t xml:space="preserve">, </w:t>
      </w:r>
      <w:r w:rsidR="008A5CBC" w:rsidRPr="00DD6FAC">
        <w:rPr>
          <w:rFonts w:ascii="Times New Roman" w:hAnsi="Times New Roman"/>
          <w:sz w:val="24"/>
          <w:szCs w:val="24"/>
        </w:rPr>
        <w:t>retail banking</w:t>
      </w:r>
      <w:r w:rsidR="002D7210" w:rsidRPr="00DD6FAC">
        <w:rPr>
          <w:rFonts w:ascii="Times New Roman" w:hAnsi="Times New Roman"/>
          <w:sz w:val="24"/>
          <w:szCs w:val="24"/>
        </w:rPr>
        <w:t xml:space="preserve"> </w:t>
      </w:r>
      <w:r w:rsidR="002A7D79">
        <w:rPr>
          <w:rFonts w:ascii="Times New Roman" w:hAnsi="Times New Roman"/>
          <w:sz w:val="24"/>
          <w:szCs w:val="24"/>
        </w:rPr>
        <w:t xml:space="preserve">serving </w:t>
      </w:r>
      <w:r w:rsidR="002D7210" w:rsidRPr="00DD6FAC">
        <w:rPr>
          <w:rFonts w:ascii="Times New Roman" w:hAnsi="Times New Roman"/>
          <w:sz w:val="24"/>
          <w:szCs w:val="24"/>
        </w:rPr>
        <w:t>individual consumers</w:t>
      </w:r>
      <w:r w:rsidR="008A5CBC" w:rsidRPr="00DD6FAC">
        <w:rPr>
          <w:rFonts w:ascii="Times New Roman" w:hAnsi="Times New Roman"/>
          <w:sz w:val="24"/>
          <w:szCs w:val="24"/>
        </w:rPr>
        <w:t xml:space="preserve"> represent</w:t>
      </w:r>
      <w:r w:rsidR="00A11A9C" w:rsidRPr="00DD6FAC">
        <w:rPr>
          <w:rFonts w:ascii="Times New Roman" w:hAnsi="Times New Roman"/>
          <w:sz w:val="24"/>
          <w:szCs w:val="24"/>
        </w:rPr>
        <w:t xml:space="preserve">s </w:t>
      </w:r>
      <w:r w:rsidR="008A5CBC" w:rsidRPr="00DD6FAC">
        <w:rPr>
          <w:rFonts w:ascii="Times New Roman" w:hAnsi="Times New Roman"/>
          <w:sz w:val="24"/>
          <w:szCs w:val="24"/>
        </w:rPr>
        <w:t>a rather broad</w:t>
      </w:r>
      <w:r w:rsidR="002D7210" w:rsidRPr="00DD6FAC">
        <w:rPr>
          <w:rFonts w:ascii="Times New Roman" w:hAnsi="Times New Roman"/>
          <w:sz w:val="24"/>
          <w:szCs w:val="24"/>
        </w:rPr>
        <w:t xml:space="preserve"> </w:t>
      </w:r>
      <w:r w:rsidR="002A7D79">
        <w:rPr>
          <w:rFonts w:ascii="Times New Roman" w:hAnsi="Times New Roman"/>
          <w:sz w:val="24"/>
          <w:szCs w:val="24"/>
        </w:rPr>
        <w:t xml:space="preserve">and </w:t>
      </w:r>
      <w:r w:rsidR="00F32190" w:rsidRPr="00DD6FAC">
        <w:rPr>
          <w:rFonts w:ascii="Times New Roman" w:hAnsi="Times New Roman"/>
          <w:sz w:val="24"/>
          <w:szCs w:val="24"/>
        </w:rPr>
        <w:t>significant</w:t>
      </w:r>
      <w:r w:rsidR="002D7210" w:rsidRPr="00DD6FAC">
        <w:rPr>
          <w:rFonts w:ascii="Times New Roman" w:hAnsi="Times New Roman"/>
          <w:sz w:val="24"/>
          <w:szCs w:val="24"/>
        </w:rPr>
        <w:t xml:space="preserve"> </w:t>
      </w:r>
      <w:r w:rsidR="00F32190" w:rsidRPr="00DD6FAC">
        <w:rPr>
          <w:rFonts w:ascii="Times New Roman" w:hAnsi="Times New Roman"/>
          <w:sz w:val="24"/>
          <w:szCs w:val="24"/>
        </w:rPr>
        <w:t xml:space="preserve">part of the banking business.  </w:t>
      </w:r>
      <w:r w:rsidR="003D4A9B" w:rsidRPr="00DD6FAC">
        <w:rPr>
          <w:rFonts w:ascii="Times New Roman" w:hAnsi="Times New Roman"/>
          <w:sz w:val="24"/>
          <w:szCs w:val="24"/>
        </w:rPr>
        <w:t xml:space="preserve">As such, </w:t>
      </w:r>
      <w:r w:rsidR="008D746B" w:rsidRPr="00DD6FAC">
        <w:rPr>
          <w:rFonts w:ascii="Times New Roman" w:hAnsi="Times New Roman"/>
          <w:sz w:val="24"/>
          <w:szCs w:val="24"/>
        </w:rPr>
        <w:t xml:space="preserve">much research effort has been devoted </w:t>
      </w:r>
      <w:r w:rsidR="003D47EA">
        <w:rPr>
          <w:rFonts w:ascii="Times New Roman" w:hAnsi="Times New Roman"/>
          <w:sz w:val="24"/>
          <w:szCs w:val="24"/>
        </w:rPr>
        <w:t xml:space="preserve">not only </w:t>
      </w:r>
      <w:r w:rsidR="008D746B" w:rsidRPr="00DD6FAC">
        <w:rPr>
          <w:rFonts w:ascii="Times New Roman" w:hAnsi="Times New Roman"/>
          <w:sz w:val="24"/>
          <w:szCs w:val="24"/>
        </w:rPr>
        <w:t xml:space="preserve">to </w:t>
      </w:r>
      <w:r w:rsidR="003D47EA">
        <w:rPr>
          <w:rFonts w:ascii="Times New Roman" w:hAnsi="Times New Roman"/>
          <w:sz w:val="24"/>
          <w:szCs w:val="24"/>
        </w:rPr>
        <w:t xml:space="preserve">how </w:t>
      </w:r>
      <w:r w:rsidR="008D746B" w:rsidRPr="00DD6FAC">
        <w:rPr>
          <w:rFonts w:ascii="Times New Roman" w:hAnsi="Times New Roman"/>
          <w:sz w:val="24"/>
          <w:szCs w:val="24"/>
        </w:rPr>
        <w:t>this sector</w:t>
      </w:r>
      <w:r w:rsidR="00812421" w:rsidRPr="00DD6FAC">
        <w:rPr>
          <w:rFonts w:ascii="Times New Roman" w:hAnsi="Times New Roman"/>
          <w:sz w:val="24"/>
          <w:szCs w:val="24"/>
        </w:rPr>
        <w:t xml:space="preserve"> </w:t>
      </w:r>
      <w:r w:rsidR="003D47EA">
        <w:rPr>
          <w:rFonts w:ascii="Times New Roman" w:hAnsi="Times New Roman"/>
          <w:sz w:val="24"/>
          <w:szCs w:val="24"/>
        </w:rPr>
        <w:t xml:space="preserve">is served </w:t>
      </w:r>
      <w:r w:rsidR="00812421" w:rsidRPr="00DD6FAC">
        <w:rPr>
          <w:rFonts w:ascii="Times New Roman" w:hAnsi="Times New Roman"/>
          <w:sz w:val="24"/>
          <w:szCs w:val="24"/>
        </w:rPr>
        <w:t>(Andrew, 1985</w:t>
      </w:r>
      <w:r w:rsidR="003D47EA">
        <w:rPr>
          <w:rFonts w:ascii="Times New Roman" w:hAnsi="Times New Roman"/>
          <w:sz w:val="24"/>
          <w:szCs w:val="24"/>
        </w:rPr>
        <w:t>,</w:t>
      </w:r>
      <w:r w:rsidR="00812421" w:rsidRPr="00DD6FAC">
        <w:rPr>
          <w:rFonts w:ascii="Times New Roman" w:hAnsi="Times New Roman"/>
          <w:sz w:val="24"/>
          <w:szCs w:val="24"/>
        </w:rPr>
        <w:t>)</w:t>
      </w:r>
      <w:r w:rsidR="003D47EA">
        <w:rPr>
          <w:rFonts w:ascii="Times New Roman" w:hAnsi="Times New Roman"/>
          <w:sz w:val="24"/>
          <w:szCs w:val="24"/>
        </w:rPr>
        <w:t xml:space="preserve"> but also how </w:t>
      </w:r>
      <w:r w:rsidR="00AC42EA">
        <w:rPr>
          <w:rFonts w:ascii="Times New Roman" w:hAnsi="Times New Roman"/>
          <w:sz w:val="24"/>
          <w:szCs w:val="24"/>
        </w:rPr>
        <w:t>they are protected as depositors (</w:t>
      </w:r>
      <w:r w:rsidR="00AC42EA" w:rsidRPr="003D47EA">
        <w:rPr>
          <w:rFonts w:ascii="Times New Roman" w:eastAsia="Times New Roman" w:hAnsi="Times New Roman"/>
          <w:sz w:val="24"/>
          <w:szCs w:val="24"/>
          <w:lang w:eastAsia="en-US"/>
        </w:rPr>
        <w:t>Garcia</w:t>
      </w:r>
      <w:r w:rsidR="00AC42EA" w:rsidRPr="00AC42EA">
        <w:rPr>
          <w:rFonts w:ascii="Times New Roman" w:eastAsia="Times New Roman" w:hAnsi="Times New Roman"/>
          <w:sz w:val="24"/>
          <w:szCs w:val="24"/>
          <w:lang w:eastAsia="en-US"/>
        </w:rPr>
        <w:t>, 1997</w:t>
      </w:r>
      <w:r w:rsidR="003D47EA">
        <w:rPr>
          <w:rFonts w:ascii="Times New Roman" w:hAnsi="Times New Roman"/>
          <w:sz w:val="24"/>
          <w:szCs w:val="24"/>
        </w:rPr>
        <w:t>.</w:t>
      </w:r>
      <w:r w:rsidR="00AC42EA">
        <w:rPr>
          <w:rFonts w:ascii="Times New Roman" w:hAnsi="Times New Roman"/>
          <w:sz w:val="24"/>
          <w:szCs w:val="24"/>
        </w:rPr>
        <w:t>)</w:t>
      </w:r>
      <w:r w:rsidR="008D746B" w:rsidRPr="00DD6FAC">
        <w:rPr>
          <w:rFonts w:ascii="Times New Roman" w:hAnsi="Times New Roman"/>
          <w:sz w:val="24"/>
          <w:szCs w:val="24"/>
        </w:rPr>
        <w:t xml:space="preserve">  </w:t>
      </w:r>
    </w:p>
    <w:p w:rsidR="009B649F" w:rsidRPr="00DD6FAC" w:rsidRDefault="008D746B" w:rsidP="00DD6FAC">
      <w:pPr>
        <w:spacing w:line="480" w:lineRule="auto"/>
        <w:jc w:val="both"/>
        <w:rPr>
          <w:rFonts w:ascii="Times New Roman" w:hAnsi="Times New Roman"/>
          <w:sz w:val="24"/>
          <w:szCs w:val="24"/>
        </w:rPr>
      </w:pPr>
      <w:r w:rsidRPr="00DD6FAC">
        <w:rPr>
          <w:rFonts w:ascii="Times New Roman" w:hAnsi="Times New Roman"/>
          <w:sz w:val="24"/>
          <w:szCs w:val="24"/>
        </w:rPr>
        <w:t xml:space="preserve">With deregulation and new technology </w:t>
      </w:r>
      <w:r w:rsidR="00812421" w:rsidRPr="00DD6FAC">
        <w:rPr>
          <w:rFonts w:ascii="Times New Roman" w:hAnsi="Times New Roman"/>
          <w:sz w:val="24"/>
          <w:szCs w:val="24"/>
        </w:rPr>
        <w:t xml:space="preserve">impacting </w:t>
      </w:r>
      <w:r w:rsidR="002D7210" w:rsidRPr="00DD6FAC">
        <w:rPr>
          <w:rFonts w:ascii="Times New Roman" w:hAnsi="Times New Roman"/>
          <w:sz w:val="24"/>
          <w:szCs w:val="24"/>
        </w:rPr>
        <w:t xml:space="preserve">the </w:t>
      </w:r>
      <w:r w:rsidR="00812421" w:rsidRPr="00DD6FAC">
        <w:rPr>
          <w:rFonts w:ascii="Times New Roman" w:hAnsi="Times New Roman"/>
          <w:sz w:val="24"/>
          <w:szCs w:val="24"/>
        </w:rPr>
        <w:t xml:space="preserve">retail banking </w:t>
      </w:r>
      <w:r w:rsidR="009C4E95">
        <w:rPr>
          <w:rFonts w:ascii="Times New Roman" w:hAnsi="Times New Roman"/>
          <w:sz w:val="24"/>
          <w:szCs w:val="24"/>
        </w:rPr>
        <w:t>sector</w:t>
      </w:r>
      <w:r w:rsidR="002D7210" w:rsidRPr="00DD6FAC">
        <w:rPr>
          <w:rFonts w:ascii="Times New Roman" w:hAnsi="Times New Roman"/>
          <w:sz w:val="24"/>
          <w:szCs w:val="24"/>
        </w:rPr>
        <w:t xml:space="preserve"> </w:t>
      </w:r>
      <w:r w:rsidRPr="00DD6FAC">
        <w:rPr>
          <w:rFonts w:ascii="Times New Roman" w:hAnsi="Times New Roman"/>
          <w:sz w:val="24"/>
          <w:szCs w:val="24"/>
        </w:rPr>
        <w:t>(</w:t>
      </w:r>
      <w:proofErr w:type="spellStart"/>
      <w:r w:rsidRPr="00DD6FAC">
        <w:rPr>
          <w:rFonts w:ascii="Times New Roman" w:hAnsi="Times New Roman"/>
          <w:sz w:val="24"/>
          <w:szCs w:val="24"/>
        </w:rPr>
        <w:t>Keltner</w:t>
      </w:r>
      <w:proofErr w:type="spellEnd"/>
      <w:r w:rsidRPr="00DD6FAC">
        <w:rPr>
          <w:rFonts w:ascii="Times New Roman" w:hAnsi="Times New Roman"/>
          <w:sz w:val="24"/>
          <w:szCs w:val="24"/>
        </w:rPr>
        <w:t xml:space="preserve"> </w:t>
      </w:r>
      <w:r w:rsidR="009F04A4">
        <w:rPr>
          <w:rFonts w:ascii="Times New Roman" w:hAnsi="Times New Roman"/>
          <w:sz w:val="24"/>
          <w:szCs w:val="24"/>
        </w:rPr>
        <w:t>et al.</w:t>
      </w:r>
      <w:r w:rsidRPr="00DD6FAC">
        <w:rPr>
          <w:rFonts w:ascii="Times New Roman" w:hAnsi="Times New Roman"/>
          <w:sz w:val="24"/>
          <w:szCs w:val="24"/>
        </w:rPr>
        <w:t xml:space="preserve"> 1998</w:t>
      </w:r>
      <w:r w:rsidR="00A11A9C" w:rsidRPr="00DD6FAC">
        <w:rPr>
          <w:rFonts w:ascii="Times New Roman" w:hAnsi="Times New Roman"/>
          <w:sz w:val="24"/>
          <w:szCs w:val="24"/>
        </w:rPr>
        <w:t>,</w:t>
      </w:r>
      <w:r w:rsidRPr="00DD6FAC">
        <w:rPr>
          <w:rFonts w:ascii="Times New Roman" w:hAnsi="Times New Roman"/>
          <w:sz w:val="24"/>
          <w:szCs w:val="24"/>
        </w:rPr>
        <w:t>)</w:t>
      </w:r>
      <w:r w:rsidR="00A11A9C" w:rsidRPr="00DD6FAC">
        <w:rPr>
          <w:rFonts w:ascii="Times New Roman" w:hAnsi="Times New Roman"/>
          <w:sz w:val="24"/>
          <w:szCs w:val="24"/>
        </w:rPr>
        <w:t xml:space="preserve"> retail banks are </w:t>
      </w:r>
      <w:r w:rsidR="003D4A9B" w:rsidRPr="00DD6FAC">
        <w:rPr>
          <w:rFonts w:ascii="Times New Roman" w:hAnsi="Times New Roman"/>
          <w:sz w:val="24"/>
          <w:szCs w:val="24"/>
        </w:rPr>
        <w:t xml:space="preserve">challenged </w:t>
      </w:r>
      <w:r w:rsidR="00A11A9C" w:rsidRPr="00DD6FAC">
        <w:rPr>
          <w:rFonts w:ascii="Times New Roman" w:hAnsi="Times New Roman"/>
          <w:sz w:val="24"/>
          <w:szCs w:val="24"/>
        </w:rPr>
        <w:t xml:space="preserve">with increasingly intense competition.  </w:t>
      </w:r>
      <w:r w:rsidR="000C15E8" w:rsidRPr="00DD6FAC">
        <w:rPr>
          <w:rFonts w:ascii="Times New Roman" w:hAnsi="Times New Roman"/>
          <w:sz w:val="24"/>
          <w:szCs w:val="24"/>
        </w:rPr>
        <w:t xml:space="preserve">This is especially </w:t>
      </w:r>
      <w:r w:rsidR="0044644A">
        <w:rPr>
          <w:rFonts w:ascii="Times New Roman" w:hAnsi="Times New Roman"/>
          <w:sz w:val="24"/>
          <w:szCs w:val="24"/>
        </w:rPr>
        <w:t xml:space="preserve">true </w:t>
      </w:r>
      <w:r w:rsidR="000C15E8" w:rsidRPr="00DD6FAC">
        <w:rPr>
          <w:rFonts w:ascii="Times New Roman" w:hAnsi="Times New Roman"/>
          <w:sz w:val="24"/>
          <w:szCs w:val="24"/>
        </w:rPr>
        <w:t>when there are growing opportunities from a group of</w:t>
      </w:r>
      <w:r w:rsidR="0044644A">
        <w:rPr>
          <w:rFonts w:ascii="Times New Roman" w:hAnsi="Times New Roman"/>
          <w:sz w:val="24"/>
          <w:szCs w:val="24"/>
        </w:rPr>
        <w:t xml:space="preserve"> high net worth (</w:t>
      </w:r>
      <w:r w:rsidR="000C15E8" w:rsidRPr="00DD6FAC">
        <w:rPr>
          <w:rFonts w:ascii="Times New Roman" w:hAnsi="Times New Roman"/>
          <w:sz w:val="24"/>
          <w:szCs w:val="24"/>
        </w:rPr>
        <w:t>HNW</w:t>
      </w:r>
      <w:r w:rsidR="0044644A">
        <w:rPr>
          <w:rFonts w:ascii="Times New Roman" w:hAnsi="Times New Roman"/>
          <w:sz w:val="24"/>
          <w:szCs w:val="24"/>
        </w:rPr>
        <w:t>, hereafter)</w:t>
      </w:r>
      <w:r w:rsidR="000C15E8" w:rsidRPr="00DD6FAC">
        <w:rPr>
          <w:rFonts w:ascii="Times New Roman" w:hAnsi="Times New Roman"/>
          <w:sz w:val="24"/>
          <w:szCs w:val="24"/>
        </w:rPr>
        <w:t xml:space="preserve"> clients in the private banking space whose needs for products and services are unique and different from those of the mass</w:t>
      </w:r>
      <w:r w:rsidR="00AC42EA">
        <w:rPr>
          <w:rFonts w:ascii="Times New Roman" w:hAnsi="Times New Roman"/>
          <w:sz w:val="24"/>
          <w:szCs w:val="24"/>
        </w:rPr>
        <w:t xml:space="preserve"> depositors</w:t>
      </w:r>
      <w:r w:rsidR="000C15E8" w:rsidRPr="00DD6FAC">
        <w:rPr>
          <w:rFonts w:ascii="Times New Roman" w:hAnsi="Times New Roman"/>
          <w:sz w:val="24"/>
          <w:szCs w:val="24"/>
        </w:rPr>
        <w:t xml:space="preserve">.  </w:t>
      </w:r>
      <w:r w:rsidR="00A11A9C" w:rsidRPr="00DD6FAC">
        <w:rPr>
          <w:rFonts w:ascii="Times New Roman" w:hAnsi="Times New Roman"/>
          <w:sz w:val="24"/>
          <w:szCs w:val="24"/>
        </w:rPr>
        <w:t xml:space="preserve">To </w:t>
      </w:r>
      <w:r w:rsidR="003D4A9B" w:rsidRPr="00DD6FAC">
        <w:rPr>
          <w:rFonts w:ascii="Times New Roman" w:hAnsi="Times New Roman"/>
          <w:sz w:val="24"/>
          <w:szCs w:val="24"/>
        </w:rPr>
        <w:t xml:space="preserve">address these </w:t>
      </w:r>
      <w:r w:rsidR="00A11A9C" w:rsidRPr="00DD6FAC">
        <w:rPr>
          <w:rFonts w:ascii="Times New Roman" w:hAnsi="Times New Roman"/>
          <w:sz w:val="24"/>
          <w:szCs w:val="24"/>
        </w:rPr>
        <w:t xml:space="preserve">challenges, </w:t>
      </w:r>
      <w:r w:rsidR="002D7210" w:rsidRPr="00DD6FAC">
        <w:rPr>
          <w:rFonts w:ascii="Times New Roman" w:hAnsi="Times New Roman"/>
          <w:sz w:val="24"/>
          <w:szCs w:val="24"/>
        </w:rPr>
        <w:t xml:space="preserve">retail </w:t>
      </w:r>
      <w:r w:rsidR="00A11A9C" w:rsidRPr="00DD6FAC">
        <w:rPr>
          <w:rFonts w:ascii="Times New Roman" w:hAnsi="Times New Roman"/>
          <w:sz w:val="24"/>
          <w:szCs w:val="24"/>
        </w:rPr>
        <w:t xml:space="preserve">banks </w:t>
      </w:r>
      <w:r w:rsidR="0047288B" w:rsidRPr="00DD6FAC">
        <w:rPr>
          <w:rFonts w:ascii="Times New Roman" w:hAnsi="Times New Roman"/>
          <w:sz w:val="24"/>
          <w:szCs w:val="24"/>
        </w:rPr>
        <w:t xml:space="preserve">have expanded </w:t>
      </w:r>
      <w:r w:rsidR="00A11A9C" w:rsidRPr="00DD6FAC">
        <w:rPr>
          <w:rFonts w:ascii="Times New Roman" w:hAnsi="Times New Roman"/>
          <w:sz w:val="24"/>
          <w:szCs w:val="24"/>
        </w:rPr>
        <w:t>their traditional busin</w:t>
      </w:r>
      <w:r w:rsidR="00941D64" w:rsidRPr="00DD6FAC">
        <w:rPr>
          <w:rFonts w:ascii="Times New Roman" w:hAnsi="Times New Roman"/>
          <w:sz w:val="24"/>
          <w:szCs w:val="24"/>
        </w:rPr>
        <w:t>ess of buying and selling money</w:t>
      </w:r>
      <w:r w:rsidR="002D7210" w:rsidRPr="00DD6FAC">
        <w:rPr>
          <w:rFonts w:ascii="Times New Roman" w:hAnsi="Times New Roman"/>
          <w:sz w:val="24"/>
          <w:szCs w:val="24"/>
        </w:rPr>
        <w:t>, deposits and loans,</w:t>
      </w:r>
      <w:r w:rsidR="0047288B" w:rsidRPr="00DD6FAC">
        <w:rPr>
          <w:rFonts w:ascii="Times New Roman" w:hAnsi="Times New Roman"/>
          <w:sz w:val="24"/>
          <w:szCs w:val="24"/>
        </w:rPr>
        <w:t xml:space="preserve"> </w:t>
      </w:r>
      <w:r w:rsidR="00A11A9C" w:rsidRPr="00DD6FAC">
        <w:rPr>
          <w:rFonts w:ascii="Times New Roman" w:hAnsi="Times New Roman"/>
          <w:sz w:val="24"/>
          <w:szCs w:val="24"/>
        </w:rPr>
        <w:t xml:space="preserve">to </w:t>
      </w:r>
      <w:r w:rsidR="0047288B" w:rsidRPr="00DD6FAC">
        <w:rPr>
          <w:rFonts w:ascii="Times New Roman" w:hAnsi="Times New Roman"/>
          <w:sz w:val="24"/>
          <w:szCs w:val="24"/>
        </w:rPr>
        <w:t xml:space="preserve">include </w:t>
      </w:r>
      <w:r w:rsidR="00BD1DAE" w:rsidRPr="00DD6FAC">
        <w:rPr>
          <w:rFonts w:ascii="Times New Roman" w:hAnsi="Times New Roman"/>
          <w:sz w:val="24"/>
          <w:szCs w:val="24"/>
        </w:rPr>
        <w:t xml:space="preserve">two </w:t>
      </w:r>
      <w:r w:rsidR="002D7210" w:rsidRPr="00DD6FAC">
        <w:rPr>
          <w:rFonts w:ascii="Times New Roman" w:hAnsi="Times New Roman"/>
          <w:sz w:val="24"/>
          <w:szCs w:val="24"/>
        </w:rPr>
        <w:t>directions</w:t>
      </w:r>
      <w:r w:rsidR="00BD1DAE" w:rsidRPr="00DD6FAC">
        <w:rPr>
          <w:rFonts w:ascii="Times New Roman" w:hAnsi="Times New Roman"/>
          <w:sz w:val="24"/>
          <w:szCs w:val="24"/>
        </w:rPr>
        <w:t xml:space="preserve">; one in </w:t>
      </w:r>
      <w:r w:rsidR="00A11A9C" w:rsidRPr="00DD6FAC">
        <w:rPr>
          <w:rFonts w:ascii="Times New Roman" w:hAnsi="Times New Roman"/>
          <w:sz w:val="24"/>
          <w:szCs w:val="24"/>
        </w:rPr>
        <w:t>global banking (</w:t>
      </w:r>
      <w:proofErr w:type="spellStart"/>
      <w:r w:rsidR="00941D64" w:rsidRPr="00DD6FAC">
        <w:rPr>
          <w:rFonts w:ascii="Times New Roman" w:hAnsi="Times New Roman"/>
          <w:sz w:val="24"/>
          <w:szCs w:val="24"/>
        </w:rPr>
        <w:t>Kaynak</w:t>
      </w:r>
      <w:proofErr w:type="spellEnd"/>
      <w:r w:rsidR="00941D64" w:rsidRPr="00DD6FAC">
        <w:rPr>
          <w:rFonts w:ascii="Times New Roman" w:hAnsi="Times New Roman"/>
          <w:sz w:val="24"/>
          <w:szCs w:val="24"/>
        </w:rPr>
        <w:t xml:space="preserve">, 1986, </w:t>
      </w:r>
      <w:r w:rsidR="00A11A9C" w:rsidRPr="00DD6FAC">
        <w:rPr>
          <w:rFonts w:ascii="Times New Roman" w:hAnsi="Times New Roman"/>
          <w:sz w:val="24"/>
          <w:szCs w:val="24"/>
        </w:rPr>
        <w:t xml:space="preserve">McCullough </w:t>
      </w:r>
      <w:r w:rsidR="009F04A4">
        <w:rPr>
          <w:rFonts w:ascii="Times New Roman" w:hAnsi="Times New Roman"/>
          <w:sz w:val="24"/>
          <w:szCs w:val="24"/>
        </w:rPr>
        <w:t>et al.</w:t>
      </w:r>
      <w:r w:rsidR="00A11A9C" w:rsidRPr="00DD6FAC">
        <w:rPr>
          <w:rFonts w:ascii="Times New Roman" w:hAnsi="Times New Roman"/>
          <w:sz w:val="24"/>
          <w:szCs w:val="24"/>
        </w:rPr>
        <w:t xml:space="preserve">, 1986,) </w:t>
      </w:r>
      <w:r w:rsidR="00F73699" w:rsidRPr="00DD6FAC">
        <w:rPr>
          <w:rFonts w:ascii="Times New Roman" w:hAnsi="Times New Roman"/>
          <w:sz w:val="24"/>
          <w:szCs w:val="24"/>
        </w:rPr>
        <w:t xml:space="preserve">and </w:t>
      </w:r>
      <w:r w:rsidR="00BD1DAE" w:rsidRPr="00DD6FAC">
        <w:rPr>
          <w:rFonts w:ascii="Times New Roman" w:hAnsi="Times New Roman"/>
          <w:sz w:val="24"/>
          <w:szCs w:val="24"/>
        </w:rPr>
        <w:t xml:space="preserve">the other in </w:t>
      </w:r>
      <w:r w:rsidR="0047288B" w:rsidRPr="00DD6FAC">
        <w:rPr>
          <w:rFonts w:ascii="Times New Roman" w:hAnsi="Times New Roman"/>
          <w:sz w:val="24"/>
          <w:szCs w:val="24"/>
        </w:rPr>
        <w:t>personal financial services (</w:t>
      </w:r>
      <w:r w:rsidR="004F1CBA" w:rsidRPr="00DD6FAC">
        <w:rPr>
          <w:rFonts w:ascii="Times New Roman" w:hAnsi="Times New Roman"/>
          <w:sz w:val="24"/>
          <w:szCs w:val="24"/>
        </w:rPr>
        <w:t xml:space="preserve">Wright, </w:t>
      </w:r>
      <w:r w:rsidR="009F04A4">
        <w:rPr>
          <w:rFonts w:ascii="Times New Roman" w:hAnsi="Times New Roman"/>
          <w:sz w:val="24"/>
          <w:szCs w:val="24"/>
        </w:rPr>
        <w:t>et al.</w:t>
      </w:r>
      <w:r w:rsidR="004F1CBA" w:rsidRPr="00DD6FAC">
        <w:rPr>
          <w:rFonts w:ascii="Times New Roman" w:hAnsi="Times New Roman"/>
          <w:sz w:val="24"/>
          <w:szCs w:val="24"/>
        </w:rPr>
        <w:t>, 1986.</w:t>
      </w:r>
      <w:r w:rsidR="0047288B" w:rsidRPr="00DD6FAC">
        <w:rPr>
          <w:rFonts w:ascii="Times New Roman" w:hAnsi="Times New Roman"/>
          <w:sz w:val="24"/>
          <w:szCs w:val="24"/>
        </w:rPr>
        <w:t>)</w:t>
      </w:r>
      <w:r w:rsidR="004F1CBA" w:rsidRPr="00DD6FAC">
        <w:rPr>
          <w:rFonts w:ascii="Times New Roman" w:hAnsi="Times New Roman"/>
          <w:sz w:val="24"/>
          <w:szCs w:val="24"/>
        </w:rPr>
        <w:t xml:space="preserve">  </w:t>
      </w:r>
    </w:p>
    <w:p w:rsidR="00867F0F" w:rsidRPr="00DD6FAC" w:rsidRDefault="009B649F" w:rsidP="00DD6FAC">
      <w:pPr>
        <w:spacing w:line="480" w:lineRule="auto"/>
        <w:jc w:val="both"/>
        <w:rPr>
          <w:rFonts w:ascii="Times New Roman" w:hAnsi="Times New Roman"/>
          <w:sz w:val="24"/>
          <w:szCs w:val="24"/>
        </w:rPr>
      </w:pPr>
      <w:r w:rsidRPr="00DD6FAC">
        <w:rPr>
          <w:rFonts w:ascii="Times New Roman" w:hAnsi="Times New Roman"/>
          <w:sz w:val="24"/>
          <w:szCs w:val="24"/>
        </w:rPr>
        <w:lastRenderedPageBreak/>
        <w:t>E</w:t>
      </w:r>
      <w:r w:rsidR="00BE2904" w:rsidRPr="00DD6FAC">
        <w:rPr>
          <w:rFonts w:ascii="Times New Roman" w:hAnsi="Times New Roman"/>
          <w:sz w:val="24"/>
          <w:szCs w:val="24"/>
        </w:rPr>
        <w:t>fforts</w:t>
      </w:r>
      <w:r w:rsidRPr="00DD6FAC">
        <w:rPr>
          <w:rFonts w:ascii="Times New Roman" w:hAnsi="Times New Roman"/>
          <w:sz w:val="24"/>
          <w:szCs w:val="24"/>
        </w:rPr>
        <w:t xml:space="preserve"> in these two directions</w:t>
      </w:r>
      <w:r w:rsidR="00BE2904" w:rsidRPr="00DD6FAC">
        <w:rPr>
          <w:rFonts w:ascii="Times New Roman" w:hAnsi="Times New Roman"/>
          <w:sz w:val="24"/>
          <w:szCs w:val="24"/>
        </w:rPr>
        <w:t xml:space="preserve">, in turn, </w:t>
      </w:r>
      <w:r w:rsidR="0044644A">
        <w:rPr>
          <w:rFonts w:ascii="Times New Roman" w:hAnsi="Times New Roman"/>
          <w:sz w:val="24"/>
          <w:szCs w:val="24"/>
        </w:rPr>
        <w:t xml:space="preserve">have </w:t>
      </w:r>
      <w:r w:rsidR="00BE2904" w:rsidRPr="00DD6FAC">
        <w:rPr>
          <w:rFonts w:ascii="Times New Roman" w:hAnsi="Times New Roman"/>
          <w:sz w:val="24"/>
          <w:szCs w:val="24"/>
        </w:rPr>
        <w:t xml:space="preserve">led a </w:t>
      </w:r>
      <w:r w:rsidR="003D4A9B" w:rsidRPr="00DD6FAC">
        <w:rPr>
          <w:rFonts w:ascii="Times New Roman" w:hAnsi="Times New Roman"/>
          <w:sz w:val="24"/>
          <w:szCs w:val="24"/>
        </w:rPr>
        <w:t>cross</w:t>
      </w:r>
      <w:r w:rsidR="00734719" w:rsidRPr="00DD6FAC">
        <w:rPr>
          <w:rFonts w:ascii="Times New Roman" w:hAnsi="Times New Roman"/>
          <w:sz w:val="24"/>
          <w:szCs w:val="24"/>
        </w:rPr>
        <w:t xml:space="preserve">ing-over of </w:t>
      </w:r>
      <w:r w:rsidR="00A37D9A" w:rsidRPr="00DD6FAC">
        <w:rPr>
          <w:rFonts w:ascii="Times New Roman" w:hAnsi="Times New Roman"/>
          <w:sz w:val="24"/>
          <w:szCs w:val="24"/>
        </w:rPr>
        <w:t xml:space="preserve">the </w:t>
      </w:r>
      <w:r w:rsidR="00734719" w:rsidRPr="00DD6FAC">
        <w:rPr>
          <w:rFonts w:ascii="Times New Roman" w:hAnsi="Times New Roman"/>
          <w:sz w:val="24"/>
          <w:szCs w:val="24"/>
        </w:rPr>
        <w:t xml:space="preserve">two </w:t>
      </w:r>
      <w:r w:rsidR="00BE2904" w:rsidRPr="00DD6FAC">
        <w:rPr>
          <w:rFonts w:ascii="Times New Roman" w:hAnsi="Times New Roman"/>
          <w:sz w:val="24"/>
          <w:szCs w:val="24"/>
        </w:rPr>
        <w:t xml:space="preserve">new </w:t>
      </w:r>
      <w:r w:rsidR="00734719" w:rsidRPr="00DD6FAC">
        <w:rPr>
          <w:rFonts w:ascii="Times New Roman" w:hAnsi="Times New Roman"/>
          <w:sz w:val="24"/>
          <w:szCs w:val="24"/>
        </w:rPr>
        <w:t>segment</w:t>
      </w:r>
      <w:r w:rsidR="00A37D9A" w:rsidRPr="00DD6FAC">
        <w:rPr>
          <w:rFonts w:ascii="Times New Roman" w:hAnsi="Times New Roman"/>
          <w:sz w:val="24"/>
          <w:szCs w:val="24"/>
        </w:rPr>
        <w:t>s</w:t>
      </w:r>
      <w:r w:rsidRPr="00DD6FAC">
        <w:rPr>
          <w:rFonts w:ascii="Times New Roman" w:hAnsi="Times New Roman"/>
          <w:sz w:val="24"/>
          <w:szCs w:val="24"/>
        </w:rPr>
        <w:t xml:space="preserve"> to result </w:t>
      </w:r>
      <w:r w:rsidR="003D4A9B" w:rsidRPr="00DD6FAC">
        <w:rPr>
          <w:rFonts w:ascii="Times New Roman" w:hAnsi="Times New Roman"/>
          <w:sz w:val="24"/>
          <w:szCs w:val="24"/>
        </w:rPr>
        <w:t xml:space="preserve">the emergence of a new </w:t>
      </w:r>
      <w:r w:rsidRPr="00DD6FAC">
        <w:rPr>
          <w:rFonts w:ascii="Times New Roman" w:hAnsi="Times New Roman"/>
          <w:sz w:val="24"/>
          <w:szCs w:val="24"/>
        </w:rPr>
        <w:t xml:space="preserve">segment </w:t>
      </w:r>
      <w:r w:rsidR="003D4A9B" w:rsidRPr="00DD6FAC">
        <w:rPr>
          <w:rFonts w:ascii="Times New Roman" w:hAnsi="Times New Roman"/>
          <w:sz w:val="24"/>
          <w:szCs w:val="24"/>
        </w:rPr>
        <w:t>of clients</w:t>
      </w:r>
      <w:r w:rsidRPr="00DD6FAC">
        <w:rPr>
          <w:rFonts w:ascii="Times New Roman" w:hAnsi="Times New Roman"/>
          <w:sz w:val="24"/>
          <w:szCs w:val="24"/>
        </w:rPr>
        <w:t>; a group that has needs in g</w:t>
      </w:r>
      <w:r w:rsidR="00BE2904" w:rsidRPr="00DD6FAC">
        <w:rPr>
          <w:rFonts w:ascii="Times New Roman" w:hAnsi="Times New Roman"/>
          <w:sz w:val="24"/>
          <w:szCs w:val="24"/>
        </w:rPr>
        <w:t xml:space="preserve">lobal </w:t>
      </w:r>
      <w:r w:rsidR="00AC42EA">
        <w:rPr>
          <w:rFonts w:ascii="Times New Roman" w:hAnsi="Times New Roman"/>
          <w:sz w:val="24"/>
          <w:szCs w:val="24"/>
        </w:rPr>
        <w:t xml:space="preserve">and </w:t>
      </w:r>
      <w:r w:rsidR="00BE2904" w:rsidRPr="00DD6FAC">
        <w:rPr>
          <w:rFonts w:ascii="Times New Roman" w:hAnsi="Times New Roman"/>
          <w:sz w:val="24"/>
          <w:szCs w:val="24"/>
        </w:rPr>
        <w:t>personal financial services</w:t>
      </w:r>
      <w:r w:rsidRPr="00DD6FAC">
        <w:rPr>
          <w:rFonts w:ascii="Times New Roman" w:hAnsi="Times New Roman"/>
          <w:sz w:val="24"/>
          <w:szCs w:val="24"/>
        </w:rPr>
        <w:t xml:space="preserve">.  </w:t>
      </w:r>
      <w:r w:rsidR="003D4A9B" w:rsidRPr="00DD6FAC">
        <w:rPr>
          <w:rFonts w:ascii="Times New Roman" w:hAnsi="Times New Roman"/>
          <w:sz w:val="24"/>
          <w:szCs w:val="24"/>
        </w:rPr>
        <w:t xml:space="preserve">This </w:t>
      </w:r>
      <w:r w:rsidR="00F73699" w:rsidRPr="00DD6FAC">
        <w:rPr>
          <w:rFonts w:ascii="Times New Roman" w:hAnsi="Times New Roman"/>
          <w:sz w:val="24"/>
          <w:szCs w:val="24"/>
        </w:rPr>
        <w:t xml:space="preserve">new breed </w:t>
      </w:r>
      <w:r w:rsidR="00BE2904" w:rsidRPr="00DD6FAC">
        <w:rPr>
          <w:rFonts w:ascii="Times New Roman" w:hAnsi="Times New Roman"/>
          <w:sz w:val="24"/>
          <w:szCs w:val="24"/>
        </w:rPr>
        <w:t xml:space="preserve">of </w:t>
      </w:r>
      <w:r w:rsidR="004F1CBA" w:rsidRPr="00DD6FAC">
        <w:rPr>
          <w:rFonts w:ascii="Times New Roman" w:hAnsi="Times New Roman"/>
          <w:sz w:val="24"/>
          <w:szCs w:val="24"/>
        </w:rPr>
        <w:t xml:space="preserve">banking clients </w:t>
      </w:r>
      <w:r w:rsidRPr="00DD6FAC">
        <w:rPr>
          <w:rFonts w:ascii="Times New Roman" w:hAnsi="Times New Roman"/>
          <w:sz w:val="24"/>
          <w:szCs w:val="24"/>
        </w:rPr>
        <w:t xml:space="preserve">with a global perspective as well as specialized personal financial needs not only have </w:t>
      </w:r>
      <w:r w:rsidR="009C4E95">
        <w:rPr>
          <w:rFonts w:ascii="Times New Roman" w:hAnsi="Times New Roman"/>
          <w:sz w:val="24"/>
          <w:szCs w:val="24"/>
        </w:rPr>
        <w:t>wants</w:t>
      </w:r>
      <w:r w:rsidRPr="00DD6FAC">
        <w:rPr>
          <w:rFonts w:ascii="Times New Roman" w:hAnsi="Times New Roman"/>
          <w:sz w:val="24"/>
          <w:szCs w:val="24"/>
        </w:rPr>
        <w:t xml:space="preserve"> that cannot be met by </w:t>
      </w:r>
      <w:r w:rsidR="00AC42EA">
        <w:rPr>
          <w:rFonts w:ascii="Times New Roman" w:hAnsi="Times New Roman"/>
          <w:sz w:val="24"/>
          <w:szCs w:val="24"/>
        </w:rPr>
        <w:t xml:space="preserve">traditional </w:t>
      </w:r>
      <w:r w:rsidRPr="00DD6FAC">
        <w:rPr>
          <w:rFonts w:ascii="Times New Roman" w:hAnsi="Times New Roman"/>
          <w:sz w:val="24"/>
          <w:szCs w:val="24"/>
        </w:rPr>
        <w:t xml:space="preserve">products and services, but also </w:t>
      </w:r>
      <w:r w:rsidR="00BE2904" w:rsidRPr="00DD6FAC">
        <w:rPr>
          <w:rFonts w:ascii="Times New Roman" w:hAnsi="Times New Roman"/>
          <w:sz w:val="24"/>
          <w:szCs w:val="24"/>
        </w:rPr>
        <w:t>tend to be clients that are of a more affluent nature</w:t>
      </w:r>
      <w:r w:rsidR="00194DFF" w:rsidRPr="00DD6FAC">
        <w:rPr>
          <w:rFonts w:ascii="Times New Roman" w:hAnsi="Times New Roman"/>
          <w:sz w:val="24"/>
          <w:szCs w:val="24"/>
        </w:rPr>
        <w:t xml:space="preserve"> and represents </w:t>
      </w:r>
      <w:r w:rsidR="004F1CBA" w:rsidRPr="00DD6FAC">
        <w:rPr>
          <w:rFonts w:ascii="Times New Roman" w:hAnsi="Times New Roman"/>
          <w:sz w:val="24"/>
          <w:szCs w:val="24"/>
        </w:rPr>
        <w:t xml:space="preserve">a </w:t>
      </w:r>
      <w:r w:rsidR="00AC42EA">
        <w:rPr>
          <w:rFonts w:ascii="Times New Roman" w:hAnsi="Times New Roman"/>
          <w:sz w:val="24"/>
          <w:szCs w:val="24"/>
        </w:rPr>
        <w:t xml:space="preserve">potentially </w:t>
      </w:r>
      <w:r w:rsidR="004F1CBA" w:rsidRPr="00DD6FAC">
        <w:rPr>
          <w:rFonts w:ascii="Times New Roman" w:hAnsi="Times New Roman"/>
          <w:sz w:val="24"/>
          <w:szCs w:val="24"/>
        </w:rPr>
        <w:t xml:space="preserve">lucrative </w:t>
      </w:r>
      <w:r w:rsidR="00A50AEB" w:rsidRPr="00DD6FAC">
        <w:rPr>
          <w:rFonts w:ascii="Times New Roman" w:hAnsi="Times New Roman"/>
          <w:sz w:val="24"/>
          <w:szCs w:val="24"/>
        </w:rPr>
        <w:t xml:space="preserve">and high growth segment </w:t>
      </w:r>
      <w:r w:rsidR="004F1CBA" w:rsidRPr="00DD6FAC">
        <w:rPr>
          <w:rFonts w:ascii="Times New Roman" w:hAnsi="Times New Roman"/>
          <w:sz w:val="24"/>
          <w:szCs w:val="24"/>
        </w:rPr>
        <w:t xml:space="preserve">for financial service providers </w:t>
      </w:r>
      <w:r w:rsidR="00BE2904" w:rsidRPr="00DD6FAC">
        <w:rPr>
          <w:rFonts w:ascii="Times New Roman" w:hAnsi="Times New Roman"/>
          <w:sz w:val="24"/>
          <w:szCs w:val="24"/>
        </w:rPr>
        <w:t>(Rose, 1982.</w:t>
      </w:r>
      <w:r w:rsidR="00A50AEB" w:rsidRPr="00DD6FAC">
        <w:rPr>
          <w:rFonts w:ascii="Times New Roman" w:hAnsi="Times New Roman"/>
          <w:sz w:val="24"/>
          <w:szCs w:val="24"/>
        </w:rPr>
        <w:t>)</w:t>
      </w:r>
      <w:r w:rsidR="00BD1DAE" w:rsidRPr="00DD6FAC">
        <w:rPr>
          <w:rFonts w:ascii="Times New Roman" w:hAnsi="Times New Roman"/>
          <w:sz w:val="24"/>
          <w:szCs w:val="24"/>
        </w:rPr>
        <w:t xml:space="preserve"> </w:t>
      </w:r>
      <w:r w:rsidR="00BE2904" w:rsidRPr="00DD6FAC">
        <w:rPr>
          <w:rFonts w:ascii="Times New Roman" w:hAnsi="Times New Roman"/>
          <w:sz w:val="24"/>
          <w:szCs w:val="24"/>
        </w:rPr>
        <w:t xml:space="preserve"> T</w:t>
      </w:r>
      <w:r w:rsidR="007D6B53">
        <w:rPr>
          <w:rFonts w:ascii="Times New Roman" w:hAnsi="Times New Roman"/>
          <w:sz w:val="24"/>
          <w:szCs w:val="24"/>
        </w:rPr>
        <w:t>his group of affluent clients are</w:t>
      </w:r>
      <w:r w:rsidR="00BE2904" w:rsidRPr="00DD6FAC">
        <w:rPr>
          <w:rFonts w:ascii="Times New Roman" w:hAnsi="Times New Roman"/>
          <w:sz w:val="24"/>
          <w:szCs w:val="24"/>
        </w:rPr>
        <w:t xml:space="preserve"> identified </w:t>
      </w:r>
      <w:r w:rsidR="00AC42EA">
        <w:rPr>
          <w:rFonts w:ascii="Times New Roman" w:hAnsi="Times New Roman"/>
          <w:sz w:val="24"/>
          <w:szCs w:val="24"/>
        </w:rPr>
        <w:t xml:space="preserve">and segmented </w:t>
      </w:r>
      <w:r w:rsidR="00BE2904" w:rsidRPr="00DD6FAC">
        <w:rPr>
          <w:rFonts w:ascii="Times New Roman" w:hAnsi="Times New Roman"/>
          <w:sz w:val="24"/>
          <w:szCs w:val="24"/>
        </w:rPr>
        <w:t>as high net worth individuals (HNWIs,) or ultra-hig</w:t>
      </w:r>
      <w:r w:rsidRPr="00DD6FAC">
        <w:rPr>
          <w:rFonts w:ascii="Times New Roman" w:hAnsi="Times New Roman"/>
          <w:sz w:val="24"/>
          <w:szCs w:val="24"/>
        </w:rPr>
        <w:t>h net worth individuals (UHNWIs</w:t>
      </w:r>
      <w:r w:rsidR="00BE2904" w:rsidRPr="00DD6FAC">
        <w:rPr>
          <w:rFonts w:ascii="Times New Roman" w:hAnsi="Times New Roman"/>
          <w:sz w:val="24"/>
          <w:szCs w:val="24"/>
        </w:rPr>
        <w:t>)</w:t>
      </w:r>
      <w:r w:rsidRPr="00DD6FAC">
        <w:rPr>
          <w:rFonts w:ascii="Times New Roman" w:hAnsi="Times New Roman"/>
          <w:sz w:val="24"/>
          <w:szCs w:val="24"/>
        </w:rPr>
        <w:t xml:space="preserve"> by banks</w:t>
      </w:r>
      <w:r w:rsidR="00BE2904" w:rsidRPr="00DD6FAC">
        <w:rPr>
          <w:rFonts w:ascii="Times New Roman" w:hAnsi="Times New Roman"/>
          <w:sz w:val="24"/>
          <w:szCs w:val="24"/>
        </w:rPr>
        <w:t xml:space="preserve"> and the services and products offered to these clients are of a somewhat exclusive nature.  </w:t>
      </w:r>
      <w:r w:rsidR="00AC42EA">
        <w:rPr>
          <w:rFonts w:ascii="Times New Roman" w:hAnsi="Times New Roman"/>
          <w:sz w:val="24"/>
          <w:szCs w:val="24"/>
        </w:rPr>
        <w:t>In general, t</w:t>
      </w:r>
      <w:r w:rsidR="00BE2904" w:rsidRPr="00DD6FAC">
        <w:rPr>
          <w:rFonts w:ascii="Times New Roman" w:hAnsi="Times New Roman"/>
          <w:sz w:val="24"/>
          <w:szCs w:val="24"/>
        </w:rPr>
        <w:t xml:space="preserve">his segment of banking is </w:t>
      </w:r>
      <w:r w:rsidR="00BD1DAE" w:rsidRPr="00DD6FAC">
        <w:rPr>
          <w:rFonts w:ascii="Times New Roman" w:hAnsi="Times New Roman"/>
          <w:sz w:val="24"/>
          <w:szCs w:val="24"/>
        </w:rPr>
        <w:t>identified as private banking</w:t>
      </w:r>
      <w:r w:rsidR="00AC42EA">
        <w:rPr>
          <w:rFonts w:ascii="Times New Roman" w:hAnsi="Times New Roman"/>
          <w:sz w:val="24"/>
          <w:szCs w:val="24"/>
        </w:rPr>
        <w:t xml:space="preserve"> in the industry</w:t>
      </w:r>
      <w:r w:rsidR="00E11FF5">
        <w:rPr>
          <w:rFonts w:ascii="Times New Roman" w:hAnsi="Times New Roman"/>
          <w:sz w:val="24"/>
          <w:szCs w:val="24"/>
        </w:rPr>
        <w:t xml:space="preserve">.  Service providers in this segment include not only banks in the traditional sense, e.g., UBS, HSBC Private Bank, etc., but also other financial institutions, e.g., AIG Private Bank, from the insurance sector.  </w:t>
      </w:r>
      <w:r w:rsidR="007F515F">
        <w:rPr>
          <w:rFonts w:ascii="Times New Roman" w:hAnsi="Times New Roman"/>
          <w:sz w:val="24"/>
          <w:szCs w:val="24"/>
        </w:rPr>
        <w:t>Capon et al.</w:t>
      </w:r>
      <w:r w:rsidR="00A50AEB" w:rsidRPr="00DD6FAC">
        <w:rPr>
          <w:rFonts w:ascii="Times New Roman" w:hAnsi="Times New Roman"/>
          <w:sz w:val="24"/>
          <w:szCs w:val="24"/>
        </w:rPr>
        <w:t xml:space="preserve"> (1994) declared that “… for retail banks, the most significant development was the growth of private banking.  Through private bankers, many banks aimed to provide a much broader range of financial services to affluent clients tha</w:t>
      </w:r>
      <w:r w:rsidR="00BD1DAE" w:rsidRPr="00DD6FAC">
        <w:rPr>
          <w:rFonts w:ascii="Times New Roman" w:hAnsi="Times New Roman"/>
          <w:sz w:val="24"/>
          <w:szCs w:val="24"/>
        </w:rPr>
        <w:t xml:space="preserve">n to the mass market.” (p. 17.)  </w:t>
      </w:r>
      <w:r w:rsidR="00E11FF5">
        <w:rPr>
          <w:rFonts w:ascii="Times New Roman" w:hAnsi="Times New Roman"/>
          <w:sz w:val="24"/>
          <w:szCs w:val="24"/>
        </w:rPr>
        <w:t>While the significance of private banking is evident</w:t>
      </w:r>
      <w:r w:rsidR="00867F0F" w:rsidRPr="00DD6FAC">
        <w:rPr>
          <w:rFonts w:ascii="Times New Roman" w:hAnsi="Times New Roman"/>
          <w:sz w:val="24"/>
          <w:szCs w:val="24"/>
        </w:rPr>
        <w:t xml:space="preserve">, the research and understanding of private banks in the </w:t>
      </w:r>
      <w:r w:rsidR="009C4E95">
        <w:rPr>
          <w:rFonts w:ascii="Times New Roman" w:hAnsi="Times New Roman"/>
          <w:sz w:val="24"/>
          <w:szCs w:val="24"/>
        </w:rPr>
        <w:t>industry and in academe</w:t>
      </w:r>
      <w:r w:rsidR="00867F0F" w:rsidRPr="00DD6FAC">
        <w:rPr>
          <w:rFonts w:ascii="Times New Roman" w:hAnsi="Times New Roman"/>
          <w:sz w:val="24"/>
          <w:szCs w:val="24"/>
        </w:rPr>
        <w:t xml:space="preserve"> is rather limited.  Frequently, private banks are understood to be banks that are non-public sector banks (Reddy, 2011,) rather than banks that offer </w:t>
      </w:r>
      <w:r w:rsidR="005E6A83" w:rsidRPr="00DD6FAC">
        <w:rPr>
          <w:rFonts w:ascii="Times New Roman" w:hAnsi="Times New Roman"/>
          <w:sz w:val="24"/>
          <w:szCs w:val="24"/>
        </w:rPr>
        <w:t xml:space="preserve">private </w:t>
      </w:r>
      <w:r w:rsidR="00867F0F" w:rsidRPr="00DD6FAC">
        <w:rPr>
          <w:rFonts w:ascii="Times New Roman" w:hAnsi="Times New Roman"/>
          <w:sz w:val="24"/>
          <w:szCs w:val="24"/>
        </w:rPr>
        <w:t xml:space="preserve">services only to selected high net worth (HNW) clients.  </w:t>
      </w:r>
    </w:p>
    <w:p w:rsidR="000E16CB" w:rsidRPr="00DD6FAC" w:rsidRDefault="004B781C" w:rsidP="00DD6FAC">
      <w:pPr>
        <w:spacing w:line="480" w:lineRule="auto"/>
        <w:jc w:val="both"/>
        <w:rPr>
          <w:rFonts w:ascii="Times New Roman" w:hAnsi="Times New Roman"/>
          <w:sz w:val="24"/>
          <w:szCs w:val="24"/>
        </w:rPr>
      </w:pPr>
      <w:r w:rsidRPr="00DD6FAC">
        <w:rPr>
          <w:rFonts w:ascii="Times New Roman" w:hAnsi="Times New Roman"/>
          <w:sz w:val="24"/>
          <w:szCs w:val="24"/>
        </w:rPr>
        <w:t xml:space="preserve">A comprehensive review of the bank marketing literature clearly reveals that research on private banking is scarce.  </w:t>
      </w:r>
      <w:r w:rsidR="007F515F">
        <w:rPr>
          <w:rFonts w:ascii="Times New Roman" w:hAnsi="Times New Roman"/>
          <w:sz w:val="24"/>
          <w:szCs w:val="24"/>
        </w:rPr>
        <w:t>The dearth</w:t>
      </w:r>
      <w:r w:rsidR="00061802" w:rsidRPr="00DD6FAC">
        <w:rPr>
          <w:rFonts w:ascii="Times New Roman" w:hAnsi="Times New Roman"/>
          <w:sz w:val="24"/>
          <w:szCs w:val="24"/>
        </w:rPr>
        <w:t xml:space="preserve"> of research in this rather </w:t>
      </w:r>
      <w:r w:rsidRPr="00DD6FAC">
        <w:rPr>
          <w:rFonts w:ascii="Times New Roman" w:hAnsi="Times New Roman"/>
          <w:sz w:val="24"/>
          <w:szCs w:val="24"/>
        </w:rPr>
        <w:t xml:space="preserve">significant </w:t>
      </w:r>
      <w:r w:rsidR="00061802" w:rsidRPr="00DD6FAC">
        <w:rPr>
          <w:rFonts w:ascii="Times New Roman" w:hAnsi="Times New Roman"/>
          <w:sz w:val="24"/>
          <w:szCs w:val="24"/>
        </w:rPr>
        <w:t>segment of banking is</w:t>
      </w:r>
      <w:r w:rsidR="00BD1DAE" w:rsidRPr="00DD6FAC">
        <w:rPr>
          <w:rFonts w:ascii="Times New Roman" w:hAnsi="Times New Roman"/>
          <w:sz w:val="24"/>
          <w:szCs w:val="24"/>
        </w:rPr>
        <w:t xml:space="preserve"> </w:t>
      </w:r>
      <w:r w:rsidRPr="00DD6FAC">
        <w:rPr>
          <w:rFonts w:ascii="Times New Roman" w:hAnsi="Times New Roman"/>
          <w:sz w:val="24"/>
          <w:szCs w:val="24"/>
        </w:rPr>
        <w:t xml:space="preserve">partly due to </w:t>
      </w:r>
      <w:r w:rsidR="00E11FF5">
        <w:rPr>
          <w:rFonts w:ascii="Times New Roman" w:hAnsi="Times New Roman"/>
          <w:sz w:val="24"/>
          <w:szCs w:val="24"/>
        </w:rPr>
        <w:t xml:space="preserve">the nature of the services demanded by </w:t>
      </w:r>
      <w:r w:rsidR="009C4E95">
        <w:rPr>
          <w:rFonts w:ascii="Times New Roman" w:hAnsi="Times New Roman"/>
          <w:sz w:val="24"/>
          <w:szCs w:val="24"/>
        </w:rPr>
        <w:t>clients</w:t>
      </w:r>
      <w:r w:rsidR="00E11FF5">
        <w:rPr>
          <w:rFonts w:ascii="Times New Roman" w:hAnsi="Times New Roman"/>
          <w:sz w:val="24"/>
          <w:szCs w:val="24"/>
        </w:rPr>
        <w:t xml:space="preserve">; i.e., </w:t>
      </w:r>
      <w:r w:rsidRPr="00DD6FAC">
        <w:rPr>
          <w:rFonts w:ascii="Times New Roman" w:hAnsi="Times New Roman"/>
          <w:sz w:val="24"/>
          <w:szCs w:val="24"/>
        </w:rPr>
        <w:t xml:space="preserve">banks want to </w:t>
      </w:r>
      <w:r w:rsidRPr="00DD6FAC">
        <w:rPr>
          <w:rFonts w:ascii="Times New Roman" w:hAnsi="Times New Roman"/>
          <w:sz w:val="24"/>
          <w:szCs w:val="24"/>
        </w:rPr>
        <w:lastRenderedPageBreak/>
        <w:t xml:space="preserve">retain the “private” </w:t>
      </w:r>
      <w:r w:rsidR="000E16CB" w:rsidRPr="00DD6FAC">
        <w:rPr>
          <w:rFonts w:ascii="Times New Roman" w:hAnsi="Times New Roman"/>
          <w:sz w:val="24"/>
          <w:szCs w:val="24"/>
        </w:rPr>
        <w:t xml:space="preserve">and the secretive </w:t>
      </w:r>
      <w:r w:rsidRPr="00DD6FAC">
        <w:rPr>
          <w:rFonts w:ascii="Times New Roman" w:hAnsi="Times New Roman"/>
          <w:sz w:val="24"/>
          <w:szCs w:val="24"/>
        </w:rPr>
        <w:t>nature of its products and services as the products and services are provided only to selected clients and not the masses</w:t>
      </w:r>
      <w:r w:rsidR="00BD1DAE" w:rsidRPr="00DD6FAC">
        <w:rPr>
          <w:rFonts w:ascii="Times New Roman" w:hAnsi="Times New Roman"/>
          <w:sz w:val="24"/>
          <w:szCs w:val="24"/>
        </w:rPr>
        <w:t>.</w:t>
      </w:r>
      <w:r w:rsidRPr="00DD6FAC">
        <w:rPr>
          <w:rFonts w:ascii="Times New Roman" w:hAnsi="Times New Roman"/>
          <w:sz w:val="24"/>
          <w:szCs w:val="24"/>
        </w:rPr>
        <w:t xml:space="preserve">  Indeed, if </w:t>
      </w:r>
      <w:r w:rsidR="000E16CB" w:rsidRPr="00DD6FAC">
        <w:rPr>
          <w:rFonts w:ascii="Times New Roman" w:hAnsi="Times New Roman"/>
          <w:sz w:val="24"/>
          <w:szCs w:val="24"/>
        </w:rPr>
        <w:t xml:space="preserve">any of the </w:t>
      </w:r>
      <w:r w:rsidRPr="00DD6FAC">
        <w:rPr>
          <w:rFonts w:ascii="Times New Roman" w:hAnsi="Times New Roman"/>
          <w:sz w:val="24"/>
          <w:szCs w:val="24"/>
        </w:rPr>
        <w:t xml:space="preserve">products and services provided </w:t>
      </w:r>
      <w:r w:rsidR="000E16CB" w:rsidRPr="00DD6FAC">
        <w:rPr>
          <w:rFonts w:ascii="Times New Roman" w:hAnsi="Times New Roman"/>
          <w:sz w:val="24"/>
          <w:szCs w:val="24"/>
        </w:rPr>
        <w:t xml:space="preserve">to the private banking clients became </w:t>
      </w:r>
      <w:r w:rsidRPr="00DD6FAC">
        <w:rPr>
          <w:rFonts w:ascii="Times New Roman" w:hAnsi="Times New Roman"/>
          <w:sz w:val="24"/>
          <w:szCs w:val="24"/>
        </w:rPr>
        <w:t>widely known</w:t>
      </w:r>
      <w:r w:rsidR="000E16CB" w:rsidRPr="00DD6FAC">
        <w:rPr>
          <w:rFonts w:ascii="Times New Roman" w:hAnsi="Times New Roman"/>
          <w:sz w:val="24"/>
          <w:szCs w:val="24"/>
        </w:rPr>
        <w:t xml:space="preserve"> and available in the public domain, the appeal of novelty and exclusivity may be diluted, giving no reason for a private banking client to continue to be associated with the bank.  </w:t>
      </w:r>
    </w:p>
    <w:p w:rsidR="000C15E8" w:rsidRPr="00DD6FAC" w:rsidRDefault="000E16CB" w:rsidP="00DD6FAC">
      <w:pPr>
        <w:spacing w:line="480" w:lineRule="auto"/>
        <w:jc w:val="both"/>
        <w:rPr>
          <w:rFonts w:ascii="Times New Roman" w:hAnsi="Times New Roman"/>
          <w:sz w:val="24"/>
          <w:szCs w:val="24"/>
        </w:rPr>
      </w:pPr>
      <w:r w:rsidRPr="00DD6FAC">
        <w:rPr>
          <w:rFonts w:ascii="Times New Roman" w:hAnsi="Times New Roman"/>
          <w:sz w:val="24"/>
          <w:szCs w:val="24"/>
        </w:rPr>
        <w:t>A second reason for</w:t>
      </w:r>
      <w:r w:rsidR="007F515F">
        <w:rPr>
          <w:rFonts w:ascii="Times New Roman" w:hAnsi="Times New Roman"/>
          <w:sz w:val="24"/>
          <w:szCs w:val="24"/>
        </w:rPr>
        <w:t xml:space="preserve"> a lack of</w:t>
      </w:r>
      <w:r w:rsidRPr="00DD6FAC">
        <w:rPr>
          <w:rFonts w:ascii="Times New Roman" w:hAnsi="Times New Roman"/>
          <w:sz w:val="24"/>
          <w:szCs w:val="24"/>
        </w:rPr>
        <w:t xml:space="preserve"> resea</w:t>
      </w:r>
      <w:r w:rsidR="009C4E95">
        <w:rPr>
          <w:rFonts w:ascii="Times New Roman" w:hAnsi="Times New Roman"/>
          <w:sz w:val="24"/>
          <w:szCs w:val="24"/>
        </w:rPr>
        <w:t>rch in the private banking sector</w:t>
      </w:r>
      <w:r w:rsidRPr="00DD6FAC">
        <w:rPr>
          <w:rFonts w:ascii="Times New Roman" w:hAnsi="Times New Roman"/>
          <w:sz w:val="24"/>
          <w:szCs w:val="24"/>
        </w:rPr>
        <w:t xml:space="preserve"> may be academic in nature.  With the core of banking research coming out from the finance</w:t>
      </w:r>
      <w:r w:rsidR="007C6334" w:rsidRPr="00DD6FAC">
        <w:rPr>
          <w:rFonts w:ascii="Times New Roman" w:hAnsi="Times New Roman"/>
          <w:sz w:val="24"/>
          <w:szCs w:val="24"/>
        </w:rPr>
        <w:t xml:space="preserve"> literature</w:t>
      </w:r>
      <w:r w:rsidR="00096256" w:rsidRPr="00DD6FAC">
        <w:rPr>
          <w:rFonts w:ascii="Times New Roman" w:hAnsi="Times New Roman"/>
          <w:sz w:val="24"/>
          <w:szCs w:val="24"/>
        </w:rPr>
        <w:t xml:space="preserve">, and research in this area traditionally being driven along the lines of capital markets, bonds and equity financing and investment, i.e., investment banking, and money markets, loans and deposits, i.e., retail banking, while the </w:t>
      </w:r>
      <w:r w:rsidRPr="00DD6FAC">
        <w:rPr>
          <w:rFonts w:ascii="Times New Roman" w:hAnsi="Times New Roman"/>
          <w:sz w:val="24"/>
          <w:szCs w:val="24"/>
        </w:rPr>
        <w:t xml:space="preserve">products and services offered </w:t>
      </w:r>
      <w:r w:rsidR="00096256" w:rsidRPr="00DD6FAC">
        <w:rPr>
          <w:rFonts w:ascii="Times New Roman" w:hAnsi="Times New Roman"/>
          <w:sz w:val="24"/>
          <w:szCs w:val="24"/>
        </w:rPr>
        <w:t xml:space="preserve">in private banking </w:t>
      </w:r>
      <w:r w:rsidRPr="00DD6FAC">
        <w:rPr>
          <w:rFonts w:ascii="Times New Roman" w:hAnsi="Times New Roman"/>
          <w:sz w:val="24"/>
          <w:szCs w:val="24"/>
        </w:rPr>
        <w:t>do</w:t>
      </w:r>
      <w:r w:rsidR="00096256" w:rsidRPr="00DD6FAC">
        <w:rPr>
          <w:rFonts w:ascii="Times New Roman" w:hAnsi="Times New Roman"/>
          <w:sz w:val="24"/>
          <w:szCs w:val="24"/>
        </w:rPr>
        <w:t xml:space="preserve"> </w:t>
      </w:r>
      <w:r w:rsidRPr="00DD6FAC">
        <w:rPr>
          <w:rFonts w:ascii="Times New Roman" w:hAnsi="Times New Roman"/>
          <w:sz w:val="24"/>
          <w:szCs w:val="24"/>
        </w:rPr>
        <w:t xml:space="preserve">not fall neatly into </w:t>
      </w:r>
      <w:r w:rsidR="00096256" w:rsidRPr="00DD6FAC">
        <w:rPr>
          <w:rFonts w:ascii="Times New Roman" w:hAnsi="Times New Roman"/>
          <w:sz w:val="24"/>
          <w:szCs w:val="24"/>
        </w:rPr>
        <w:t xml:space="preserve">either of these </w:t>
      </w:r>
      <w:r w:rsidRPr="00DD6FAC">
        <w:rPr>
          <w:rFonts w:ascii="Times New Roman" w:hAnsi="Times New Roman"/>
          <w:sz w:val="24"/>
          <w:szCs w:val="24"/>
        </w:rPr>
        <w:t>traditional categories</w:t>
      </w:r>
      <w:r w:rsidR="00096256" w:rsidRPr="00DD6FAC">
        <w:rPr>
          <w:rFonts w:ascii="Times New Roman" w:hAnsi="Times New Roman"/>
          <w:sz w:val="24"/>
          <w:szCs w:val="24"/>
        </w:rPr>
        <w:t xml:space="preserve">, research in </w:t>
      </w:r>
      <w:r w:rsidR="000F7D4A" w:rsidRPr="00DD6FAC">
        <w:rPr>
          <w:rFonts w:ascii="Times New Roman" w:hAnsi="Times New Roman"/>
          <w:sz w:val="24"/>
          <w:szCs w:val="24"/>
        </w:rPr>
        <w:t>private banking naturally has not received much attention by researchers</w:t>
      </w:r>
      <w:r w:rsidRPr="00DD6FAC">
        <w:rPr>
          <w:rFonts w:ascii="Times New Roman" w:hAnsi="Times New Roman"/>
          <w:sz w:val="24"/>
          <w:szCs w:val="24"/>
        </w:rPr>
        <w:t xml:space="preserve">.  For example, wealth management </w:t>
      </w:r>
      <w:r w:rsidR="0022112D" w:rsidRPr="00DD6FAC">
        <w:rPr>
          <w:rFonts w:ascii="Times New Roman" w:hAnsi="Times New Roman"/>
          <w:sz w:val="24"/>
          <w:szCs w:val="24"/>
        </w:rPr>
        <w:t xml:space="preserve">services with investment management features that are offered by private banks to HNWIs is </w:t>
      </w:r>
      <w:r w:rsidR="00E11FF5">
        <w:rPr>
          <w:rFonts w:ascii="Times New Roman" w:hAnsi="Times New Roman"/>
          <w:sz w:val="24"/>
          <w:szCs w:val="24"/>
        </w:rPr>
        <w:t xml:space="preserve">in and of itself </w:t>
      </w:r>
      <w:r w:rsidR="0022112D" w:rsidRPr="00DD6FAC">
        <w:rPr>
          <w:rFonts w:ascii="Times New Roman" w:hAnsi="Times New Roman"/>
          <w:sz w:val="24"/>
          <w:szCs w:val="24"/>
        </w:rPr>
        <w:t xml:space="preserve">a service that is beyond that of </w:t>
      </w:r>
      <w:r w:rsidR="00E11FF5">
        <w:rPr>
          <w:rFonts w:ascii="Times New Roman" w:hAnsi="Times New Roman"/>
          <w:sz w:val="24"/>
          <w:szCs w:val="24"/>
        </w:rPr>
        <w:t xml:space="preserve">the </w:t>
      </w:r>
      <w:r w:rsidR="0022112D" w:rsidRPr="00DD6FAC">
        <w:rPr>
          <w:rFonts w:ascii="Times New Roman" w:hAnsi="Times New Roman"/>
          <w:sz w:val="24"/>
          <w:szCs w:val="24"/>
        </w:rPr>
        <w:t>traditional retail banking product</w:t>
      </w:r>
      <w:r w:rsidR="00E11FF5">
        <w:rPr>
          <w:rFonts w:ascii="Times New Roman" w:hAnsi="Times New Roman"/>
          <w:sz w:val="24"/>
          <w:szCs w:val="24"/>
        </w:rPr>
        <w:t>s</w:t>
      </w:r>
      <w:r w:rsidR="0022112D" w:rsidRPr="00DD6FAC">
        <w:rPr>
          <w:rFonts w:ascii="Times New Roman" w:hAnsi="Times New Roman"/>
          <w:sz w:val="24"/>
          <w:szCs w:val="24"/>
        </w:rPr>
        <w:t xml:space="preserve"> in </w:t>
      </w:r>
      <w:r w:rsidR="00E11FF5">
        <w:rPr>
          <w:rFonts w:ascii="Times New Roman" w:hAnsi="Times New Roman"/>
          <w:sz w:val="24"/>
          <w:szCs w:val="24"/>
        </w:rPr>
        <w:t xml:space="preserve">various </w:t>
      </w:r>
      <w:r w:rsidR="0022112D" w:rsidRPr="00DD6FAC">
        <w:rPr>
          <w:rFonts w:ascii="Times New Roman" w:hAnsi="Times New Roman"/>
          <w:sz w:val="24"/>
          <w:szCs w:val="24"/>
        </w:rPr>
        <w:t>form</w:t>
      </w:r>
      <w:r w:rsidR="00E11FF5">
        <w:rPr>
          <w:rFonts w:ascii="Times New Roman" w:hAnsi="Times New Roman"/>
          <w:sz w:val="24"/>
          <w:szCs w:val="24"/>
        </w:rPr>
        <w:t>s</w:t>
      </w:r>
      <w:r w:rsidR="0022112D" w:rsidRPr="00DD6FAC">
        <w:rPr>
          <w:rFonts w:ascii="Times New Roman" w:hAnsi="Times New Roman"/>
          <w:sz w:val="24"/>
          <w:szCs w:val="24"/>
        </w:rPr>
        <w:t xml:space="preserve"> of deposit which </w:t>
      </w:r>
      <w:r w:rsidR="00E11FF5">
        <w:rPr>
          <w:rFonts w:ascii="Times New Roman" w:hAnsi="Times New Roman"/>
          <w:sz w:val="24"/>
          <w:szCs w:val="24"/>
        </w:rPr>
        <w:t xml:space="preserve">were </w:t>
      </w:r>
      <w:r w:rsidR="0022112D" w:rsidRPr="00DD6FAC">
        <w:rPr>
          <w:rFonts w:ascii="Times New Roman" w:hAnsi="Times New Roman"/>
          <w:sz w:val="24"/>
          <w:szCs w:val="24"/>
        </w:rPr>
        <w:t xml:space="preserve">used to facilitate clients’ management of liquidity oriented transactions. </w:t>
      </w:r>
    </w:p>
    <w:p w:rsidR="00881587" w:rsidRDefault="000C15E8" w:rsidP="00DD6FAC">
      <w:pPr>
        <w:spacing w:line="480" w:lineRule="auto"/>
        <w:jc w:val="both"/>
        <w:rPr>
          <w:rFonts w:ascii="Times New Roman" w:hAnsi="Times New Roman"/>
          <w:sz w:val="24"/>
          <w:szCs w:val="24"/>
        </w:rPr>
      </w:pPr>
      <w:r w:rsidRPr="00DD6FAC">
        <w:rPr>
          <w:rFonts w:ascii="Times New Roman" w:hAnsi="Times New Roman"/>
          <w:sz w:val="24"/>
          <w:szCs w:val="24"/>
        </w:rPr>
        <w:t xml:space="preserve">While there </w:t>
      </w:r>
      <w:r w:rsidR="009B649F" w:rsidRPr="00DD6FAC">
        <w:rPr>
          <w:rFonts w:ascii="Times New Roman" w:hAnsi="Times New Roman"/>
          <w:sz w:val="24"/>
          <w:szCs w:val="24"/>
        </w:rPr>
        <w:t xml:space="preserve">exists a </w:t>
      </w:r>
      <w:r w:rsidRPr="00DD6FAC">
        <w:rPr>
          <w:rFonts w:ascii="Times New Roman" w:hAnsi="Times New Roman"/>
          <w:sz w:val="24"/>
          <w:szCs w:val="24"/>
        </w:rPr>
        <w:t xml:space="preserve">clear need for </w:t>
      </w:r>
      <w:r w:rsidR="009B649F" w:rsidRPr="00DD6FAC">
        <w:rPr>
          <w:rFonts w:ascii="Times New Roman" w:hAnsi="Times New Roman"/>
          <w:sz w:val="24"/>
          <w:szCs w:val="24"/>
        </w:rPr>
        <w:t xml:space="preserve">general </w:t>
      </w:r>
      <w:r w:rsidRPr="00DD6FAC">
        <w:rPr>
          <w:rFonts w:ascii="Times New Roman" w:hAnsi="Times New Roman"/>
          <w:sz w:val="24"/>
          <w:szCs w:val="24"/>
        </w:rPr>
        <w:t>research into the private banking</w:t>
      </w:r>
      <w:r w:rsidR="009B649F" w:rsidRPr="00DD6FAC">
        <w:rPr>
          <w:rFonts w:ascii="Times New Roman" w:hAnsi="Times New Roman"/>
          <w:sz w:val="24"/>
          <w:szCs w:val="24"/>
        </w:rPr>
        <w:t xml:space="preserve"> segment</w:t>
      </w:r>
      <w:r w:rsidRPr="00DD6FAC">
        <w:rPr>
          <w:rFonts w:ascii="Times New Roman" w:hAnsi="Times New Roman"/>
          <w:sz w:val="24"/>
          <w:szCs w:val="24"/>
        </w:rPr>
        <w:t xml:space="preserve">, </w:t>
      </w:r>
      <w:r w:rsidR="006A5ABC" w:rsidRPr="00DD6FAC">
        <w:rPr>
          <w:rFonts w:ascii="Times New Roman" w:hAnsi="Times New Roman"/>
          <w:sz w:val="24"/>
          <w:szCs w:val="24"/>
        </w:rPr>
        <w:t>e</w:t>
      </w:r>
      <w:r w:rsidR="000A61A7" w:rsidRPr="00DD6FAC">
        <w:rPr>
          <w:rFonts w:ascii="Times New Roman" w:hAnsi="Times New Roman"/>
          <w:sz w:val="24"/>
          <w:szCs w:val="24"/>
        </w:rPr>
        <w:t xml:space="preserve">ven within the private banking segment, </w:t>
      </w:r>
      <w:proofErr w:type="spellStart"/>
      <w:r w:rsidR="000A61A7" w:rsidRPr="00DD6FAC">
        <w:rPr>
          <w:rFonts w:ascii="Times New Roman" w:hAnsi="Times New Roman"/>
          <w:sz w:val="24"/>
          <w:szCs w:val="24"/>
        </w:rPr>
        <w:t>Surtani</w:t>
      </w:r>
      <w:proofErr w:type="spellEnd"/>
      <w:r w:rsidR="000A61A7" w:rsidRPr="00DD6FAC">
        <w:rPr>
          <w:rFonts w:ascii="Times New Roman" w:hAnsi="Times New Roman"/>
          <w:sz w:val="24"/>
          <w:szCs w:val="24"/>
        </w:rPr>
        <w:t xml:space="preserve"> (1991) concluded that “the traditional view of the Hong Kong private banking market as being homogeneous needs</w:t>
      </w:r>
      <w:r w:rsidR="007F515F">
        <w:rPr>
          <w:rFonts w:ascii="Times New Roman" w:hAnsi="Times New Roman"/>
          <w:sz w:val="24"/>
          <w:szCs w:val="24"/>
        </w:rPr>
        <w:t xml:space="preserve"> to be abandoned,” (p.</w:t>
      </w:r>
      <w:r w:rsidR="008022AF" w:rsidRPr="00DD6FAC">
        <w:rPr>
          <w:rFonts w:ascii="Times New Roman" w:hAnsi="Times New Roman"/>
          <w:sz w:val="24"/>
          <w:szCs w:val="24"/>
        </w:rPr>
        <w:t>35</w:t>
      </w:r>
      <w:r w:rsidR="000A61A7" w:rsidRPr="00DD6FAC">
        <w:rPr>
          <w:rFonts w:ascii="Times New Roman" w:hAnsi="Times New Roman"/>
          <w:sz w:val="24"/>
          <w:szCs w:val="24"/>
        </w:rPr>
        <w:t>)</w:t>
      </w:r>
      <w:r w:rsidR="007F515F">
        <w:rPr>
          <w:rFonts w:ascii="Times New Roman" w:hAnsi="Times New Roman"/>
          <w:sz w:val="24"/>
          <w:szCs w:val="24"/>
        </w:rPr>
        <w:t>.  This reflects a</w:t>
      </w:r>
      <w:r w:rsidR="008022AF" w:rsidRPr="00DD6FAC">
        <w:rPr>
          <w:rFonts w:ascii="Times New Roman" w:hAnsi="Times New Roman"/>
          <w:sz w:val="24"/>
          <w:szCs w:val="24"/>
        </w:rPr>
        <w:t xml:space="preserve"> need </w:t>
      </w:r>
      <w:r w:rsidR="007F515F">
        <w:rPr>
          <w:rFonts w:ascii="Times New Roman" w:hAnsi="Times New Roman"/>
          <w:sz w:val="24"/>
          <w:szCs w:val="24"/>
        </w:rPr>
        <w:t xml:space="preserve">for </w:t>
      </w:r>
      <w:r w:rsidR="008022AF" w:rsidRPr="00DD6FAC">
        <w:rPr>
          <w:rFonts w:ascii="Times New Roman" w:hAnsi="Times New Roman"/>
          <w:sz w:val="24"/>
          <w:szCs w:val="24"/>
        </w:rPr>
        <w:t xml:space="preserve">segmentation </w:t>
      </w:r>
      <w:r w:rsidR="007F515F">
        <w:rPr>
          <w:rFonts w:ascii="Times New Roman" w:hAnsi="Times New Roman"/>
          <w:sz w:val="24"/>
          <w:szCs w:val="24"/>
        </w:rPr>
        <w:t>research</w:t>
      </w:r>
      <w:r w:rsidR="008022AF" w:rsidRPr="00DD6FAC">
        <w:rPr>
          <w:rFonts w:ascii="Times New Roman" w:hAnsi="Times New Roman"/>
          <w:sz w:val="24"/>
          <w:szCs w:val="24"/>
        </w:rPr>
        <w:t xml:space="preserve"> within the private banking segment.</w:t>
      </w:r>
      <w:r w:rsidR="007F515F">
        <w:rPr>
          <w:rFonts w:ascii="Times New Roman" w:hAnsi="Times New Roman"/>
          <w:sz w:val="24"/>
          <w:szCs w:val="24"/>
        </w:rPr>
        <w:t xml:space="preserve">  Chung et al</w:t>
      </w:r>
      <w:r w:rsidR="00CE08DB" w:rsidRPr="00DD6FAC">
        <w:rPr>
          <w:rFonts w:ascii="Times New Roman" w:hAnsi="Times New Roman"/>
          <w:sz w:val="24"/>
          <w:szCs w:val="24"/>
        </w:rPr>
        <w:t>. (2014) proposed</w:t>
      </w:r>
      <w:r w:rsidR="00BE3AEF">
        <w:rPr>
          <w:rFonts w:ascii="Times New Roman" w:hAnsi="Times New Roman"/>
          <w:sz w:val="24"/>
          <w:szCs w:val="24"/>
        </w:rPr>
        <w:t>, and</w:t>
      </w:r>
      <w:r w:rsidR="00CE08DB" w:rsidRPr="00DD6FAC">
        <w:rPr>
          <w:rFonts w:ascii="Times New Roman" w:hAnsi="Times New Roman"/>
          <w:sz w:val="24"/>
          <w:szCs w:val="24"/>
        </w:rPr>
        <w:t xml:space="preserve"> </w:t>
      </w:r>
      <w:r w:rsidR="00BE3AEF">
        <w:rPr>
          <w:rFonts w:ascii="Times New Roman" w:hAnsi="Times New Roman"/>
          <w:sz w:val="24"/>
          <w:szCs w:val="24"/>
        </w:rPr>
        <w:t xml:space="preserve">with certain success, </w:t>
      </w:r>
      <w:r w:rsidR="00CE08DB" w:rsidRPr="00DD6FAC">
        <w:rPr>
          <w:rFonts w:ascii="Times New Roman" w:hAnsi="Times New Roman"/>
          <w:sz w:val="24"/>
          <w:szCs w:val="24"/>
        </w:rPr>
        <w:t>a 4Es model</w:t>
      </w:r>
      <w:r w:rsidR="00E11FF5">
        <w:rPr>
          <w:rFonts w:ascii="Times New Roman" w:hAnsi="Times New Roman"/>
          <w:sz w:val="24"/>
          <w:szCs w:val="24"/>
        </w:rPr>
        <w:t xml:space="preserve">, </w:t>
      </w:r>
      <w:r w:rsidR="00E11FF5" w:rsidRPr="00BE3AEF">
        <w:rPr>
          <w:rFonts w:ascii="Times New Roman" w:hAnsi="Times New Roman"/>
          <w:i/>
          <w:sz w:val="24"/>
          <w:szCs w:val="24"/>
        </w:rPr>
        <w:t>Endowed</w:t>
      </w:r>
      <w:r w:rsidR="00E11FF5">
        <w:rPr>
          <w:rFonts w:ascii="Times New Roman" w:hAnsi="Times New Roman"/>
          <w:sz w:val="24"/>
          <w:szCs w:val="24"/>
        </w:rPr>
        <w:t xml:space="preserve">, </w:t>
      </w:r>
      <w:r w:rsidR="00E11FF5" w:rsidRPr="00BE3AEF">
        <w:rPr>
          <w:rFonts w:ascii="Times New Roman" w:hAnsi="Times New Roman"/>
          <w:i/>
          <w:sz w:val="24"/>
          <w:szCs w:val="24"/>
        </w:rPr>
        <w:t>Entertainers</w:t>
      </w:r>
      <w:r w:rsidR="00E11FF5">
        <w:rPr>
          <w:rFonts w:ascii="Times New Roman" w:hAnsi="Times New Roman"/>
          <w:sz w:val="24"/>
          <w:szCs w:val="24"/>
        </w:rPr>
        <w:t xml:space="preserve">, </w:t>
      </w:r>
      <w:r w:rsidR="00E11FF5" w:rsidRPr="00BE3AEF">
        <w:rPr>
          <w:rFonts w:ascii="Times New Roman" w:hAnsi="Times New Roman"/>
          <w:i/>
          <w:sz w:val="24"/>
          <w:szCs w:val="24"/>
        </w:rPr>
        <w:t>Executives</w:t>
      </w:r>
      <w:r w:rsidR="00E11FF5">
        <w:rPr>
          <w:rFonts w:ascii="Times New Roman" w:hAnsi="Times New Roman"/>
          <w:sz w:val="24"/>
          <w:szCs w:val="24"/>
        </w:rPr>
        <w:t xml:space="preserve"> and </w:t>
      </w:r>
      <w:r w:rsidR="00BE3AEF" w:rsidRPr="00BE3AEF">
        <w:rPr>
          <w:rFonts w:ascii="Times New Roman" w:hAnsi="Times New Roman"/>
          <w:i/>
          <w:sz w:val="24"/>
          <w:szCs w:val="24"/>
        </w:rPr>
        <w:t>Entrepreneurs</w:t>
      </w:r>
      <w:r w:rsidR="00E11FF5">
        <w:rPr>
          <w:rFonts w:ascii="Times New Roman" w:hAnsi="Times New Roman"/>
          <w:sz w:val="24"/>
          <w:szCs w:val="24"/>
        </w:rPr>
        <w:t>,</w:t>
      </w:r>
      <w:r w:rsidR="00CE08DB" w:rsidRPr="00DD6FAC">
        <w:rPr>
          <w:rFonts w:ascii="Times New Roman" w:hAnsi="Times New Roman"/>
          <w:sz w:val="24"/>
          <w:szCs w:val="24"/>
        </w:rPr>
        <w:t xml:space="preserve"> to classify and examine behavior of private banking clients.  However, it </w:t>
      </w:r>
      <w:r w:rsidR="007F515F">
        <w:rPr>
          <w:rFonts w:ascii="Times New Roman" w:hAnsi="Times New Roman"/>
          <w:sz w:val="24"/>
          <w:szCs w:val="24"/>
        </w:rPr>
        <w:t>has not be</w:t>
      </w:r>
      <w:r w:rsidR="00553E96">
        <w:rPr>
          <w:rFonts w:ascii="Times New Roman" w:hAnsi="Times New Roman"/>
          <w:sz w:val="24"/>
          <w:szCs w:val="24"/>
        </w:rPr>
        <w:t>en</w:t>
      </w:r>
      <w:r w:rsidR="007F515F">
        <w:rPr>
          <w:rFonts w:ascii="Times New Roman" w:hAnsi="Times New Roman"/>
          <w:sz w:val="24"/>
          <w:szCs w:val="24"/>
        </w:rPr>
        <w:t xml:space="preserve"> investigated</w:t>
      </w:r>
      <w:r w:rsidR="00CE08DB" w:rsidRPr="00DD6FAC">
        <w:rPr>
          <w:rFonts w:ascii="Times New Roman" w:hAnsi="Times New Roman"/>
          <w:sz w:val="24"/>
          <w:szCs w:val="24"/>
        </w:rPr>
        <w:t xml:space="preserve"> whether the proposed </w:t>
      </w:r>
      <w:r w:rsidR="00CE08DB" w:rsidRPr="00DD6FAC">
        <w:rPr>
          <w:rFonts w:ascii="Times New Roman" w:hAnsi="Times New Roman"/>
          <w:sz w:val="24"/>
          <w:szCs w:val="24"/>
        </w:rPr>
        <w:lastRenderedPageBreak/>
        <w:t xml:space="preserve">classification </w:t>
      </w:r>
      <w:r w:rsidR="007F515F">
        <w:rPr>
          <w:rFonts w:ascii="Times New Roman" w:hAnsi="Times New Roman"/>
          <w:sz w:val="24"/>
          <w:szCs w:val="24"/>
        </w:rPr>
        <w:t>by Chung et al</w:t>
      </w:r>
      <w:proofErr w:type="gramStart"/>
      <w:r w:rsidR="007F515F">
        <w:rPr>
          <w:rFonts w:ascii="Times New Roman" w:hAnsi="Times New Roman"/>
          <w:sz w:val="24"/>
          <w:szCs w:val="24"/>
        </w:rPr>
        <w:t>.</w:t>
      </w:r>
      <w:r w:rsidR="003E7CC4">
        <w:rPr>
          <w:rFonts w:ascii="Times New Roman" w:hAnsi="Times New Roman"/>
          <w:sz w:val="24"/>
          <w:szCs w:val="24"/>
        </w:rPr>
        <w:t>(</w:t>
      </w:r>
      <w:proofErr w:type="gramEnd"/>
      <w:r w:rsidR="003E7CC4">
        <w:rPr>
          <w:rFonts w:ascii="Times New Roman" w:hAnsi="Times New Roman"/>
          <w:sz w:val="24"/>
          <w:szCs w:val="24"/>
        </w:rPr>
        <w:t xml:space="preserve">2014) </w:t>
      </w:r>
      <w:r w:rsidR="00CE08DB" w:rsidRPr="00DD6FAC">
        <w:rPr>
          <w:rFonts w:ascii="Times New Roman" w:hAnsi="Times New Roman"/>
          <w:sz w:val="24"/>
          <w:szCs w:val="24"/>
        </w:rPr>
        <w:t>is valid in the sense that each of the classification</w:t>
      </w:r>
      <w:r w:rsidR="007F515F">
        <w:rPr>
          <w:rFonts w:ascii="Times New Roman" w:hAnsi="Times New Roman"/>
          <w:sz w:val="24"/>
          <w:szCs w:val="24"/>
        </w:rPr>
        <w:t>s</w:t>
      </w:r>
      <w:r w:rsidR="00CE08DB" w:rsidRPr="00DD6FAC">
        <w:rPr>
          <w:rFonts w:ascii="Times New Roman" w:hAnsi="Times New Roman"/>
          <w:sz w:val="24"/>
          <w:szCs w:val="24"/>
        </w:rPr>
        <w:t xml:space="preserve"> represents unique and distinct groups.</w:t>
      </w:r>
      <w:r w:rsidR="008022AF" w:rsidRPr="00DD6FAC">
        <w:rPr>
          <w:rFonts w:ascii="Times New Roman" w:hAnsi="Times New Roman"/>
          <w:sz w:val="24"/>
          <w:szCs w:val="24"/>
        </w:rPr>
        <w:t xml:space="preserve"> </w:t>
      </w:r>
    </w:p>
    <w:p w:rsidR="005D0833" w:rsidRPr="00DD6FAC" w:rsidRDefault="001C1E6D" w:rsidP="00DD6FAC">
      <w:pPr>
        <w:spacing w:line="480" w:lineRule="auto"/>
        <w:jc w:val="both"/>
        <w:rPr>
          <w:rFonts w:ascii="Times New Roman" w:hAnsi="Times New Roman"/>
          <w:sz w:val="24"/>
          <w:szCs w:val="24"/>
        </w:rPr>
      </w:pPr>
      <w:r w:rsidRPr="00DD6FAC">
        <w:rPr>
          <w:rFonts w:ascii="Times New Roman" w:hAnsi="Times New Roman"/>
          <w:sz w:val="24"/>
          <w:szCs w:val="24"/>
        </w:rPr>
        <w:t xml:space="preserve">This paper </w:t>
      </w:r>
      <w:r w:rsidR="007F515F">
        <w:rPr>
          <w:rFonts w:ascii="Times New Roman" w:hAnsi="Times New Roman"/>
          <w:sz w:val="24"/>
          <w:szCs w:val="24"/>
        </w:rPr>
        <w:t>examines</w:t>
      </w:r>
      <w:r w:rsidR="00CD3C16">
        <w:rPr>
          <w:rFonts w:ascii="Times New Roman" w:hAnsi="Times New Roman"/>
          <w:sz w:val="24"/>
          <w:szCs w:val="24"/>
        </w:rPr>
        <w:t xml:space="preserve"> the nature of private banking and</w:t>
      </w:r>
      <w:r w:rsidRPr="00DD6FAC">
        <w:rPr>
          <w:rFonts w:ascii="Times New Roman" w:hAnsi="Times New Roman"/>
          <w:sz w:val="24"/>
          <w:szCs w:val="24"/>
        </w:rPr>
        <w:t xml:space="preserve"> how private</w:t>
      </w:r>
      <w:r w:rsidR="00CE08DB" w:rsidRPr="00DD6FAC">
        <w:rPr>
          <w:rFonts w:ascii="Times New Roman" w:hAnsi="Times New Roman"/>
          <w:sz w:val="24"/>
          <w:szCs w:val="24"/>
        </w:rPr>
        <w:t xml:space="preserve"> </w:t>
      </w:r>
      <w:r w:rsidR="00F14284" w:rsidRPr="00DD6FAC">
        <w:rPr>
          <w:rFonts w:ascii="Times New Roman" w:hAnsi="Times New Roman"/>
          <w:sz w:val="24"/>
          <w:szCs w:val="24"/>
        </w:rPr>
        <w:t>bankers’</w:t>
      </w:r>
      <w:r w:rsidRPr="00DD6FAC">
        <w:rPr>
          <w:rFonts w:ascii="Times New Roman" w:hAnsi="Times New Roman"/>
          <w:sz w:val="24"/>
          <w:szCs w:val="24"/>
        </w:rPr>
        <w:t xml:space="preserve"> </w:t>
      </w:r>
      <w:r w:rsidR="0017653D" w:rsidRPr="00DD6FAC">
        <w:rPr>
          <w:rFonts w:ascii="Times New Roman" w:hAnsi="Times New Roman"/>
          <w:sz w:val="24"/>
          <w:szCs w:val="24"/>
        </w:rPr>
        <w:t xml:space="preserve">work with </w:t>
      </w:r>
      <w:r w:rsidR="007F515F">
        <w:rPr>
          <w:rFonts w:ascii="Times New Roman" w:hAnsi="Times New Roman"/>
          <w:sz w:val="24"/>
          <w:szCs w:val="24"/>
        </w:rPr>
        <w:t xml:space="preserve">HNW </w:t>
      </w:r>
      <w:r w:rsidR="00F14284" w:rsidRPr="00DD6FAC">
        <w:rPr>
          <w:rFonts w:ascii="Times New Roman" w:hAnsi="Times New Roman"/>
          <w:sz w:val="24"/>
          <w:szCs w:val="24"/>
        </w:rPr>
        <w:t xml:space="preserve">clients </w:t>
      </w:r>
      <w:r w:rsidR="00F14284">
        <w:rPr>
          <w:rFonts w:ascii="Times New Roman" w:hAnsi="Times New Roman"/>
          <w:sz w:val="24"/>
          <w:szCs w:val="24"/>
        </w:rPr>
        <w:t xml:space="preserve">and investigates </w:t>
      </w:r>
      <w:r w:rsidR="00881587">
        <w:rPr>
          <w:rFonts w:ascii="Times New Roman" w:hAnsi="Times New Roman"/>
          <w:sz w:val="24"/>
          <w:szCs w:val="24"/>
        </w:rPr>
        <w:t xml:space="preserve">effective </w:t>
      </w:r>
      <w:r w:rsidR="005D0833" w:rsidRPr="00DD6FAC">
        <w:rPr>
          <w:rFonts w:ascii="Times New Roman" w:hAnsi="Times New Roman"/>
          <w:sz w:val="24"/>
          <w:szCs w:val="24"/>
        </w:rPr>
        <w:t>client segmentat</w:t>
      </w:r>
      <w:r w:rsidR="00553E96">
        <w:rPr>
          <w:rFonts w:ascii="Times New Roman" w:hAnsi="Times New Roman"/>
          <w:sz w:val="24"/>
          <w:szCs w:val="24"/>
        </w:rPr>
        <w:t>ion in the private banking sector</w:t>
      </w:r>
      <w:r w:rsidRPr="00DD6FAC">
        <w:rPr>
          <w:rFonts w:ascii="Times New Roman" w:hAnsi="Times New Roman"/>
          <w:sz w:val="24"/>
          <w:szCs w:val="24"/>
        </w:rPr>
        <w:t xml:space="preserve">. </w:t>
      </w:r>
      <w:r w:rsidR="0017653D" w:rsidRPr="00DD6FAC">
        <w:rPr>
          <w:rFonts w:ascii="Times New Roman" w:hAnsi="Times New Roman"/>
          <w:sz w:val="24"/>
          <w:szCs w:val="24"/>
        </w:rPr>
        <w:t xml:space="preserve"> </w:t>
      </w:r>
    </w:p>
    <w:p w:rsidR="00057926" w:rsidRPr="00DD6FAC" w:rsidRDefault="00057926" w:rsidP="00DD6FAC">
      <w:pPr>
        <w:pStyle w:val="Pa2"/>
        <w:spacing w:after="40" w:line="480" w:lineRule="auto"/>
        <w:jc w:val="both"/>
        <w:rPr>
          <w:rFonts w:ascii="Times New Roman" w:hAnsi="Times New Roman" w:cs="Times New Roman"/>
          <w:b/>
          <w:i/>
        </w:rPr>
      </w:pPr>
      <w:r w:rsidRPr="00DD6FAC">
        <w:rPr>
          <w:rFonts w:ascii="Times New Roman" w:hAnsi="Times New Roman" w:cs="Times New Roman"/>
          <w:b/>
          <w:i/>
        </w:rPr>
        <w:t xml:space="preserve">What is private banking anyway?  Who are these HNWIs?  </w:t>
      </w:r>
    </w:p>
    <w:p w:rsidR="008E5F50" w:rsidRPr="00DD6FAC" w:rsidRDefault="005D0833" w:rsidP="00DD6FAC">
      <w:pPr>
        <w:pStyle w:val="Pa2"/>
        <w:spacing w:after="40" w:line="480" w:lineRule="auto"/>
        <w:jc w:val="both"/>
        <w:rPr>
          <w:rFonts w:ascii="Times New Roman" w:hAnsi="Times New Roman" w:cs="Times New Roman"/>
        </w:rPr>
      </w:pPr>
      <w:r w:rsidRPr="00DD6FAC">
        <w:rPr>
          <w:rFonts w:ascii="Times New Roman" w:hAnsi="Times New Roman" w:cs="Times New Roman"/>
        </w:rPr>
        <w:t>Priv</w:t>
      </w:r>
      <w:r w:rsidR="00553E96">
        <w:rPr>
          <w:rFonts w:ascii="Times New Roman" w:hAnsi="Times New Roman" w:cs="Times New Roman"/>
        </w:rPr>
        <w:t>ate banking is clearly a sector</w:t>
      </w:r>
      <w:r w:rsidRPr="00DD6FAC">
        <w:rPr>
          <w:rFonts w:ascii="Times New Roman" w:hAnsi="Times New Roman" w:cs="Times New Roman"/>
        </w:rPr>
        <w:t xml:space="preserve"> t</w:t>
      </w:r>
      <w:r w:rsidR="001D5464">
        <w:rPr>
          <w:rFonts w:ascii="Times New Roman" w:hAnsi="Times New Roman" w:cs="Times New Roman"/>
        </w:rPr>
        <w:t>hat is</w:t>
      </w:r>
      <w:r w:rsidR="00553E96">
        <w:rPr>
          <w:rFonts w:ascii="Times New Roman" w:hAnsi="Times New Roman" w:cs="Times New Roman"/>
        </w:rPr>
        <w:t xml:space="preserve"> increasingly significant</w:t>
      </w:r>
      <w:r w:rsidRPr="00DD6FAC">
        <w:rPr>
          <w:rFonts w:ascii="Times New Roman" w:hAnsi="Times New Roman" w:cs="Times New Roman"/>
        </w:rPr>
        <w:t xml:space="preserve">.  As mentioned in the previous section, the lack of research in this rather important segment of banking is, in part, due to the “private” or “secretive” nature of its operation, as </w:t>
      </w:r>
      <w:r w:rsidR="008E5F50" w:rsidRPr="00DD6FAC">
        <w:rPr>
          <w:rFonts w:ascii="Times New Roman" w:hAnsi="Times New Roman" w:cs="Times New Roman"/>
        </w:rPr>
        <w:t xml:space="preserve">the products and </w:t>
      </w:r>
      <w:r w:rsidRPr="00DD6FAC">
        <w:rPr>
          <w:rFonts w:ascii="Times New Roman" w:hAnsi="Times New Roman" w:cs="Times New Roman"/>
        </w:rPr>
        <w:t xml:space="preserve">services are </w:t>
      </w:r>
      <w:r w:rsidR="008E5F50" w:rsidRPr="00DD6FAC">
        <w:rPr>
          <w:rFonts w:ascii="Times New Roman" w:hAnsi="Times New Roman" w:cs="Times New Roman"/>
        </w:rPr>
        <w:t xml:space="preserve">only </w:t>
      </w:r>
      <w:r w:rsidRPr="00DD6FAC">
        <w:rPr>
          <w:rFonts w:ascii="Times New Roman" w:hAnsi="Times New Roman" w:cs="Times New Roman"/>
        </w:rPr>
        <w:t xml:space="preserve">provided to selected clients and not the masses.  </w:t>
      </w:r>
      <w:r w:rsidR="008E5F50" w:rsidRPr="00DD6FAC">
        <w:rPr>
          <w:rFonts w:ascii="Times New Roman" w:hAnsi="Times New Roman" w:cs="Times New Roman"/>
        </w:rPr>
        <w:t>In addition, a</w:t>
      </w:r>
      <w:r w:rsidRPr="00DD6FAC">
        <w:rPr>
          <w:rFonts w:ascii="Times New Roman" w:hAnsi="Times New Roman" w:cs="Times New Roman"/>
        </w:rPr>
        <w:t xml:space="preserve">nother factor that may have contributed to the lack of research in this area is due to the unusual nature of the product and service offerings.  </w:t>
      </w:r>
    </w:p>
    <w:p w:rsidR="004127B1" w:rsidRPr="00DD6FAC" w:rsidRDefault="005D0833" w:rsidP="00DD6FAC">
      <w:pPr>
        <w:pStyle w:val="Pa2"/>
        <w:spacing w:after="40" w:line="480" w:lineRule="auto"/>
        <w:jc w:val="both"/>
        <w:rPr>
          <w:rFonts w:ascii="Times New Roman" w:hAnsi="Times New Roman" w:cs="Times New Roman"/>
        </w:rPr>
      </w:pPr>
      <w:r w:rsidRPr="00DD6FAC">
        <w:rPr>
          <w:rFonts w:ascii="Times New Roman" w:hAnsi="Times New Roman" w:cs="Times New Roman"/>
        </w:rPr>
        <w:t>Given these circumstances, perhaps a convenient</w:t>
      </w:r>
      <w:r w:rsidR="008C03FD">
        <w:rPr>
          <w:rFonts w:ascii="Times New Roman" w:hAnsi="Times New Roman" w:cs="Times New Roman"/>
        </w:rPr>
        <w:t xml:space="preserve"> place </w:t>
      </w:r>
      <w:r w:rsidRPr="00DD6FAC">
        <w:rPr>
          <w:rFonts w:ascii="Times New Roman" w:hAnsi="Times New Roman" w:cs="Times New Roman"/>
        </w:rPr>
        <w:t xml:space="preserve">to start is from a regulatory perspective.  In this regard, the Federal Reserve Supervisory Letter (SR97-19) </w:t>
      </w:r>
      <w:r w:rsidR="008E5F50" w:rsidRPr="00DD6FAC">
        <w:rPr>
          <w:rFonts w:ascii="Times New Roman" w:hAnsi="Times New Roman" w:cs="Times New Roman"/>
        </w:rPr>
        <w:t xml:space="preserve">provides guidance and </w:t>
      </w:r>
      <w:r w:rsidRPr="00DD6FAC">
        <w:rPr>
          <w:rFonts w:ascii="Times New Roman" w:hAnsi="Times New Roman" w:cs="Times New Roman"/>
        </w:rPr>
        <w:t>suggest</w:t>
      </w:r>
      <w:r w:rsidR="008E5F50" w:rsidRPr="00DD6FAC">
        <w:rPr>
          <w:rFonts w:ascii="Times New Roman" w:hAnsi="Times New Roman" w:cs="Times New Roman"/>
        </w:rPr>
        <w:t>s</w:t>
      </w:r>
      <w:r w:rsidRPr="00DD6FAC">
        <w:rPr>
          <w:rFonts w:ascii="Times New Roman" w:hAnsi="Times New Roman" w:cs="Times New Roman"/>
        </w:rPr>
        <w:t xml:space="preserve"> that, “private banking includes, among other things, personalized services such as money management, financial advice and investment services for high-net-worth clients.” </w:t>
      </w:r>
      <w:r w:rsidR="004127B1" w:rsidRPr="00DD6FAC">
        <w:rPr>
          <w:rFonts w:ascii="Times New Roman" w:hAnsi="Times New Roman" w:cs="Times New Roman"/>
        </w:rPr>
        <w:t>(</w:t>
      </w:r>
      <w:proofErr w:type="spellStart"/>
      <w:r w:rsidR="004127B1" w:rsidRPr="00DD6FAC">
        <w:rPr>
          <w:rFonts w:ascii="Times New Roman" w:hAnsi="Times New Roman" w:cs="Times New Roman"/>
        </w:rPr>
        <w:t>Atz</w:t>
      </w:r>
      <w:proofErr w:type="spellEnd"/>
      <w:r w:rsidR="004127B1" w:rsidRPr="00DD6FAC">
        <w:rPr>
          <w:rFonts w:ascii="Times New Roman" w:hAnsi="Times New Roman" w:cs="Times New Roman"/>
        </w:rPr>
        <w:t xml:space="preserve">, 1999.)  While HNW is not specified in SR97-19, it generally refers to multi-millionaires.  </w:t>
      </w:r>
    </w:p>
    <w:p w:rsidR="004127B1" w:rsidRPr="00DD6FAC" w:rsidRDefault="00926A2A" w:rsidP="00DD6FAC">
      <w:pPr>
        <w:pStyle w:val="Pa2"/>
        <w:spacing w:after="40" w:line="480" w:lineRule="auto"/>
        <w:jc w:val="both"/>
        <w:rPr>
          <w:rFonts w:ascii="Times New Roman" w:hAnsi="Times New Roman" w:cs="Times New Roman"/>
        </w:rPr>
      </w:pPr>
      <w:r w:rsidRPr="00DD6FAC">
        <w:rPr>
          <w:rFonts w:ascii="Times New Roman" w:hAnsi="Times New Roman" w:cs="Times New Roman"/>
        </w:rPr>
        <w:t xml:space="preserve">To obtain an idea of the size and nature of this client group, </w:t>
      </w:r>
      <w:r w:rsidR="004127B1" w:rsidRPr="00DD6FAC">
        <w:rPr>
          <w:rFonts w:ascii="Times New Roman" w:hAnsi="Times New Roman" w:cs="Times New Roman"/>
        </w:rPr>
        <w:t xml:space="preserve">the </w:t>
      </w:r>
      <w:r w:rsidR="008C03FD" w:rsidRPr="00DD6FAC">
        <w:rPr>
          <w:rFonts w:ascii="Times New Roman" w:hAnsi="Times New Roman" w:cs="Times New Roman"/>
        </w:rPr>
        <w:t>Spectrum</w:t>
      </w:r>
      <w:r w:rsidR="004127B1" w:rsidRPr="00DD6FAC">
        <w:rPr>
          <w:rFonts w:ascii="Times New Roman" w:hAnsi="Times New Roman" w:cs="Times New Roman"/>
        </w:rPr>
        <w:t xml:space="preserve"> Group, </w:t>
      </w:r>
      <w:r w:rsidRPr="00DD6FAC">
        <w:rPr>
          <w:rFonts w:ascii="Times New Roman" w:hAnsi="Times New Roman" w:cs="Times New Roman"/>
        </w:rPr>
        <w:t xml:space="preserve">a financial services industry consulting and research organization, in its 2013 report, concluded that there are 9.6 million </w:t>
      </w:r>
      <w:r w:rsidR="004127B1" w:rsidRPr="00DD6FAC">
        <w:rPr>
          <w:rFonts w:ascii="Times New Roman" w:hAnsi="Times New Roman" w:cs="Times New Roman"/>
        </w:rPr>
        <w:t>millionaires in the US</w:t>
      </w:r>
      <w:r w:rsidRPr="00DD6FAC">
        <w:rPr>
          <w:rFonts w:ascii="Times New Roman" w:hAnsi="Times New Roman" w:cs="Times New Roman"/>
        </w:rPr>
        <w:t xml:space="preserve">, </w:t>
      </w:r>
      <w:r w:rsidR="004127B1" w:rsidRPr="00DD6FAC">
        <w:rPr>
          <w:rFonts w:ascii="Times New Roman" w:hAnsi="Times New Roman" w:cs="Times New Roman"/>
        </w:rPr>
        <w:t>surpass</w:t>
      </w:r>
      <w:r w:rsidRPr="00DD6FAC">
        <w:rPr>
          <w:rFonts w:ascii="Times New Roman" w:hAnsi="Times New Roman" w:cs="Times New Roman"/>
        </w:rPr>
        <w:t>ing</w:t>
      </w:r>
      <w:r w:rsidR="004127B1" w:rsidRPr="00DD6FAC">
        <w:rPr>
          <w:rFonts w:ascii="Times New Roman" w:hAnsi="Times New Roman" w:cs="Times New Roman"/>
        </w:rPr>
        <w:t xml:space="preserve"> the pre-recession high of 9.2 million in 2007</w:t>
      </w:r>
      <w:r w:rsidRPr="00DD6FAC">
        <w:rPr>
          <w:rFonts w:ascii="Times New Roman" w:hAnsi="Times New Roman" w:cs="Times New Roman"/>
        </w:rPr>
        <w:t xml:space="preserve">.  This represented </w:t>
      </w:r>
      <w:r w:rsidR="004127B1" w:rsidRPr="00DD6FAC">
        <w:rPr>
          <w:rFonts w:ascii="Times New Roman" w:hAnsi="Times New Roman" w:cs="Times New Roman"/>
        </w:rPr>
        <w:t xml:space="preserve">a 7.5% </w:t>
      </w:r>
      <w:r w:rsidR="008E5F50" w:rsidRPr="00DD6FAC">
        <w:rPr>
          <w:rFonts w:ascii="Times New Roman" w:hAnsi="Times New Roman" w:cs="Times New Roman"/>
        </w:rPr>
        <w:t xml:space="preserve">annual </w:t>
      </w:r>
      <w:r w:rsidR="004127B1" w:rsidRPr="00DD6FAC">
        <w:rPr>
          <w:rFonts w:ascii="Times New Roman" w:hAnsi="Times New Roman" w:cs="Times New Roman"/>
        </w:rPr>
        <w:t xml:space="preserve">growth over a 5 year period since 2008.  </w:t>
      </w:r>
      <w:r w:rsidR="008E5F50" w:rsidRPr="00DD6FAC">
        <w:rPr>
          <w:rFonts w:ascii="Times New Roman" w:hAnsi="Times New Roman" w:cs="Times New Roman"/>
        </w:rPr>
        <w:t>Furthermore</w:t>
      </w:r>
      <w:r w:rsidR="004127B1" w:rsidRPr="00DD6FAC">
        <w:rPr>
          <w:rFonts w:ascii="Times New Roman" w:hAnsi="Times New Roman" w:cs="Times New Roman"/>
        </w:rPr>
        <w:t xml:space="preserve">, </w:t>
      </w:r>
      <w:r w:rsidR="008E5F50" w:rsidRPr="00DD6FAC">
        <w:rPr>
          <w:rFonts w:ascii="Times New Roman" w:hAnsi="Times New Roman" w:cs="Times New Roman"/>
        </w:rPr>
        <w:t xml:space="preserve">the </w:t>
      </w:r>
      <w:r w:rsidR="004127B1" w:rsidRPr="00DD6FAC">
        <w:rPr>
          <w:rFonts w:ascii="Times New Roman" w:hAnsi="Times New Roman" w:cs="Times New Roman"/>
        </w:rPr>
        <w:t xml:space="preserve">ultra-wealthy </w:t>
      </w:r>
      <w:r w:rsidR="008E5F50" w:rsidRPr="00DD6FAC">
        <w:rPr>
          <w:rFonts w:ascii="Times New Roman" w:hAnsi="Times New Roman" w:cs="Times New Roman"/>
        </w:rPr>
        <w:t xml:space="preserve">segments among this group, </w:t>
      </w:r>
      <w:r w:rsidR="004127B1" w:rsidRPr="00DD6FAC">
        <w:rPr>
          <w:rFonts w:ascii="Times New Roman" w:hAnsi="Times New Roman" w:cs="Times New Roman"/>
        </w:rPr>
        <w:t>with a net worth of $5 million and above</w:t>
      </w:r>
      <w:r w:rsidR="008E5F50" w:rsidRPr="00DD6FAC">
        <w:rPr>
          <w:rFonts w:ascii="Times New Roman" w:hAnsi="Times New Roman" w:cs="Times New Roman"/>
        </w:rPr>
        <w:t>,</w:t>
      </w:r>
      <w:r w:rsidR="004127B1" w:rsidRPr="00DD6FAC">
        <w:rPr>
          <w:rFonts w:ascii="Times New Roman" w:hAnsi="Times New Roman" w:cs="Times New Roman"/>
        </w:rPr>
        <w:t xml:space="preserve"> </w:t>
      </w:r>
      <w:r w:rsidR="008E5F50" w:rsidRPr="00DD6FAC">
        <w:rPr>
          <w:rFonts w:ascii="Times New Roman" w:hAnsi="Times New Roman" w:cs="Times New Roman"/>
        </w:rPr>
        <w:t xml:space="preserve">includes </w:t>
      </w:r>
      <w:r w:rsidR="004127B1" w:rsidRPr="00DD6FAC">
        <w:rPr>
          <w:rFonts w:ascii="Times New Roman" w:hAnsi="Times New Roman" w:cs="Times New Roman"/>
        </w:rPr>
        <w:t xml:space="preserve">1.24 million households, up from 840,000 in 2008, and </w:t>
      </w:r>
      <w:r w:rsidR="008E5F50" w:rsidRPr="00DD6FAC">
        <w:rPr>
          <w:rFonts w:ascii="Times New Roman" w:hAnsi="Times New Roman" w:cs="Times New Roman"/>
        </w:rPr>
        <w:lastRenderedPageBreak/>
        <w:t xml:space="preserve">those with </w:t>
      </w:r>
      <w:r w:rsidR="004127B1" w:rsidRPr="00DD6FAC">
        <w:rPr>
          <w:rFonts w:ascii="Times New Roman" w:hAnsi="Times New Roman" w:cs="Times New Roman"/>
        </w:rPr>
        <w:t xml:space="preserve">$25 million or more </w:t>
      </w:r>
      <w:r w:rsidR="008E5F50" w:rsidRPr="00DD6FAC">
        <w:rPr>
          <w:rFonts w:ascii="Times New Roman" w:hAnsi="Times New Roman" w:cs="Times New Roman"/>
        </w:rPr>
        <w:t xml:space="preserve">now include </w:t>
      </w:r>
      <w:r w:rsidR="004127B1" w:rsidRPr="00DD6FAC">
        <w:rPr>
          <w:rFonts w:ascii="Times New Roman" w:hAnsi="Times New Roman" w:cs="Times New Roman"/>
        </w:rPr>
        <w:t>132,000</w:t>
      </w:r>
      <w:r w:rsidR="008E5F50" w:rsidRPr="00DD6FAC">
        <w:rPr>
          <w:rFonts w:ascii="Times New Roman" w:hAnsi="Times New Roman" w:cs="Times New Roman"/>
        </w:rPr>
        <w:t xml:space="preserve"> households</w:t>
      </w:r>
      <w:r w:rsidR="004127B1" w:rsidRPr="00DD6FAC">
        <w:rPr>
          <w:rFonts w:ascii="Times New Roman" w:hAnsi="Times New Roman" w:cs="Times New Roman"/>
        </w:rPr>
        <w:t xml:space="preserve">, up from 84,000 in 2008.  </w:t>
      </w:r>
      <w:r w:rsidR="008E5F50" w:rsidRPr="00DD6FAC">
        <w:rPr>
          <w:rFonts w:ascii="Times New Roman" w:hAnsi="Times New Roman" w:cs="Times New Roman"/>
        </w:rPr>
        <w:t>Clearly</w:t>
      </w:r>
      <w:r w:rsidR="004127B1" w:rsidRPr="00DD6FAC">
        <w:rPr>
          <w:rFonts w:ascii="Times New Roman" w:hAnsi="Times New Roman" w:cs="Times New Roman"/>
        </w:rPr>
        <w:t>, private bank</w:t>
      </w:r>
      <w:r w:rsidR="008E5F50" w:rsidRPr="00DD6FAC">
        <w:rPr>
          <w:rFonts w:ascii="Times New Roman" w:hAnsi="Times New Roman" w:cs="Times New Roman"/>
        </w:rPr>
        <w:t xml:space="preserve">ing </w:t>
      </w:r>
      <w:r w:rsidR="004127B1" w:rsidRPr="00DD6FAC">
        <w:rPr>
          <w:rFonts w:ascii="Times New Roman" w:hAnsi="Times New Roman" w:cs="Times New Roman"/>
        </w:rPr>
        <w:t>represent</w:t>
      </w:r>
      <w:r w:rsidR="008E5F50" w:rsidRPr="00DD6FAC">
        <w:rPr>
          <w:rFonts w:ascii="Times New Roman" w:hAnsi="Times New Roman" w:cs="Times New Roman"/>
        </w:rPr>
        <w:t>s</w:t>
      </w:r>
      <w:r w:rsidR="004127B1" w:rsidRPr="00DD6FAC">
        <w:rPr>
          <w:rFonts w:ascii="Times New Roman" w:hAnsi="Times New Roman" w:cs="Times New Roman"/>
        </w:rPr>
        <w:t xml:space="preserve"> not only a significant, but growing, segment of financial institutions that is little known and understood. </w:t>
      </w:r>
      <w:r w:rsidR="008E5F50" w:rsidRPr="00DD6FAC">
        <w:rPr>
          <w:rFonts w:ascii="Times New Roman" w:hAnsi="Times New Roman" w:cs="Times New Roman"/>
        </w:rPr>
        <w:t xml:space="preserve"> The following section looks at how this group has been served traditionally.</w:t>
      </w:r>
    </w:p>
    <w:p w:rsidR="00C863EC" w:rsidRPr="00DD6FAC" w:rsidRDefault="00616AA9" w:rsidP="00DD6FAC">
      <w:pPr>
        <w:spacing w:line="480" w:lineRule="auto"/>
        <w:jc w:val="both"/>
        <w:rPr>
          <w:rFonts w:ascii="Times New Roman" w:hAnsi="Times New Roman"/>
          <w:b/>
          <w:i/>
          <w:sz w:val="24"/>
          <w:szCs w:val="24"/>
        </w:rPr>
      </w:pPr>
      <w:r w:rsidRPr="00DD6FAC">
        <w:rPr>
          <w:rFonts w:ascii="Times New Roman" w:hAnsi="Times New Roman"/>
          <w:b/>
          <w:i/>
          <w:sz w:val="24"/>
          <w:szCs w:val="24"/>
        </w:rPr>
        <w:t xml:space="preserve">The </w:t>
      </w:r>
      <w:r w:rsidR="002D29C0" w:rsidRPr="00DD6FAC">
        <w:rPr>
          <w:rFonts w:ascii="Times New Roman" w:hAnsi="Times New Roman"/>
          <w:b/>
          <w:i/>
          <w:sz w:val="24"/>
          <w:szCs w:val="24"/>
        </w:rPr>
        <w:t xml:space="preserve">Evolution and Development of </w:t>
      </w:r>
      <w:r w:rsidR="00C863EC" w:rsidRPr="00DD6FAC">
        <w:rPr>
          <w:rFonts w:ascii="Times New Roman" w:hAnsi="Times New Roman"/>
          <w:b/>
          <w:i/>
          <w:sz w:val="24"/>
          <w:szCs w:val="24"/>
        </w:rPr>
        <w:t xml:space="preserve">Private Banking </w:t>
      </w:r>
    </w:p>
    <w:p w:rsidR="00C863EC" w:rsidRPr="00DD6FAC" w:rsidRDefault="00F14284" w:rsidP="00DD6FAC">
      <w:pPr>
        <w:spacing w:line="480" w:lineRule="auto"/>
        <w:jc w:val="both"/>
        <w:rPr>
          <w:rFonts w:ascii="Times New Roman" w:hAnsi="Times New Roman"/>
          <w:sz w:val="24"/>
          <w:szCs w:val="24"/>
        </w:rPr>
      </w:pPr>
      <w:r>
        <w:rPr>
          <w:rFonts w:ascii="Times New Roman" w:hAnsi="Times New Roman"/>
          <w:sz w:val="24"/>
          <w:szCs w:val="24"/>
        </w:rPr>
        <w:t>According to Maude et al</w:t>
      </w:r>
      <w:r w:rsidR="00B42D95" w:rsidRPr="00DD6FAC">
        <w:rPr>
          <w:rFonts w:ascii="Times New Roman" w:hAnsi="Times New Roman"/>
          <w:sz w:val="24"/>
          <w:szCs w:val="24"/>
        </w:rPr>
        <w:t>., (1996</w:t>
      </w:r>
      <w:r w:rsidR="006449B3" w:rsidRPr="00DD6FAC">
        <w:rPr>
          <w:rFonts w:ascii="Times New Roman" w:hAnsi="Times New Roman"/>
          <w:sz w:val="24"/>
          <w:szCs w:val="24"/>
        </w:rPr>
        <w:t>,</w:t>
      </w:r>
      <w:r w:rsidR="00B42D95" w:rsidRPr="00DD6FAC">
        <w:rPr>
          <w:rFonts w:ascii="Times New Roman" w:hAnsi="Times New Roman"/>
          <w:sz w:val="24"/>
          <w:szCs w:val="24"/>
        </w:rPr>
        <w:t>) t</w:t>
      </w:r>
      <w:r w:rsidR="00C863EC" w:rsidRPr="00DD6FAC">
        <w:rPr>
          <w:rFonts w:ascii="Times New Roman" w:hAnsi="Times New Roman"/>
          <w:sz w:val="24"/>
          <w:szCs w:val="24"/>
        </w:rPr>
        <w:t xml:space="preserve">he practice of private banking dates back at least as far as the seventeenth century with some British private banks </w:t>
      </w:r>
      <w:r w:rsidR="00B42D95" w:rsidRPr="00DD6FAC">
        <w:rPr>
          <w:rFonts w:ascii="Times New Roman" w:hAnsi="Times New Roman"/>
          <w:sz w:val="24"/>
          <w:szCs w:val="24"/>
        </w:rPr>
        <w:t xml:space="preserve">providing its client services </w:t>
      </w:r>
      <w:r w:rsidR="00C863EC" w:rsidRPr="00DD6FAC">
        <w:rPr>
          <w:rFonts w:ascii="Times New Roman" w:hAnsi="Times New Roman"/>
          <w:sz w:val="24"/>
          <w:szCs w:val="24"/>
        </w:rPr>
        <w:t>in Europe.</w:t>
      </w:r>
      <w:r w:rsidR="006449B3" w:rsidRPr="00DD6FAC">
        <w:rPr>
          <w:rFonts w:ascii="Times New Roman" w:hAnsi="Times New Roman"/>
          <w:sz w:val="24"/>
          <w:szCs w:val="24"/>
        </w:rPr>
        <w:t xml:space="preserve">  </w:t>
      </w:r>
      <w:r w:rsidR="00C863EC" w:rsidRPr="00DD6FAC">
        <w:rPr>
          <w:rFonts w:ascii="Times New Roman" w:hAnsi="Times New Roman"/>
          <w:sz w:val="24"/>
          <w:szCs w:val="24"/>
        </w:rPr>
        <w:t xml:space="preserve">  </w:t>
      </w:r>
    </w:p>
    <w:p w:rsidR="00C863EC" w:rsidRPr="00DD6FAC" w:rsidRDefault="00F14284" w:rsidP="00DD6FAC">
      <w:pPr>
        <w:spacing w:line="480" w:lineRule="auto"/>
        <w:jc w:val="both"/>
        <w:rPr>
          <w:rFonts w:ascii="Times New Roman" w:hAnsi="Times New Roman"/>
          <w:sz w:val="24"/>
          <w:szCs w:val="24"/>
        </w:rPr>
      </w:pPr>
      <w:r>
        <w:rPr>
          <w:rFonts w:ascii="Times New Roman" w:hAnsi="Times New Roman"/>
          <w:sz w:val="24"/>
          <w:szCs w:val="24"/>
        </w:rPr>
        <w:t>Maude et al</w:t>
      </w:r>
      <w:r w:rsidR="006449B3" w:rsidRPr="00DD6FAC">
        <w:rPr>
          <w:rFonts w:ascii="Times New Roman" w:hAnsi="Times New Roman"/>
          <w:sz w:val="24"/>
          <w:szCs w:val="24"/>
        </w:rPr>
        <w:t xml:space="preserve">. (1996,) concluded that traditional </w:t>
      </w:r>
      <w:r w:rsidR="00C863EC" w:rsidRPr="00DD6FAC">
        <w:rPr>
          <w:rFonts w:ascii="Times New Roman" w:hAnsi="Times New Roman"/>
          <w:sz w:val="24"/>
          <w:szCs w:val="24"/>
        </w:rPr>
        <w:t>private banks are</w:t>
      </w:r>
      <w:r w:rsidR="008C03FD">
        <w:rPr>
          <w:rFonts w:ascii="Times New Roman" w:hAnsi="Times New Roman"/>
          <w:sz w:val="24"/>
          <w:szCs w:val="24"/>
        </w:rPr>
        <w:t xml:space="preserve"> </w:t>
      </w:r>
      <w:r w:rsidR="006449B3" w:rsidRPr="00DD6FAC">
        <w:rPr>
          <w:rFonts w:ascii="Times New Roman" w:hAnsi="Times New Roman"/>
          <w:sz w:val="24"/>
          <w:szCs w:val="24"/>
        </w:rPr>
        <w:t>unlike their retail banks counterparts in two aspects.  First, from an organization perspective, unlike retail banks,</w:t>
      </w:r>
      <w:r w:rsidR="00C863EC" w:rsidRPr="00DD6FAC">
        <w:rPr>
          <w:rFonts w:ascii="Times New Roman" w:hAnsi="Times New Roman"/>
          <w:sz w:val="24"/>
          <w:szCs w:val="24"/>
        </w:rPr>
        <w:t xml:space="preserve"> </w:t>
      </w:r>
      <w:r w:rsidR="006449B3" w:rsidRPr="00DD6FAC">
        <w:rPr>
          <w:rFonts w:ascii="Times New Roman" w:hAnsi="Times New Roman"/>
          <w:sz w:val="24"/>
          <w:szCs w:val="24"/>
        </w:rPr>
        <w:t xml:space="preserve">private banks are </w:t>
      </w:r>
      <w:r w:rsidR="00C863EC" w:rsidRPr="00DD6FAC">
        <w:rPr>
          <w:rFonts w:ascii="Times New Roman" w:hAnsi="Times New Roman"/>
          <w:sz w:val="24"/>
          <w:szCs w:val="24"/>
        </w:rPr>
        <w:t>not incorporated companies</w:t>
      </w:r>
      <w:r w:rsidR="006449B3" w:rsidRPr="00DD6FAC">
        <w:rPr>
          <w:rFonts w:ascii="Times New Roman" w:hAnsi="Times New Roman"/>
          <w:sz w:val="24"/>
          <w:szCs w:val="24"/>
        </w:rPr>
        <w:t xml:space="preserve">.  Instead, private banks are </w:t>
      </w:r>
      <w:r w:rsidR="00C863EC" w:rsidRPr="00DD6FAC">
        <w:rPr>
          <w:rFonts w:ascii="Times New Roman" w:hAnsi="Times New Roman"/>
          <w:sz w:val="24"/>
          <w:szCs w:val="24"/>
        </w:rPr>
        <w:t xml:space="preserve">partnership-based organizations to provide financial and related services to high net worth individuals (HNWIs.)  </w:t>
      </w:r>
      <w:r w:rsidR="006449B3" w:rsidRPr="00DD6FAC">
        <w:rPr>
          <w:rFonts w:ascii="Times New Roman" w:hAnsi="Times New Roman"/>
          <w:sz w:val="24"/>
          <w:szCs w:val="24"/>
        </w:rPr>
        <w:t xml:space="preserve">Second, from a products and services perspective, the offerings by private banks not only </w:t>
      </w:r>
      <w:r w:rsidR="00C863EC" w:rsidRPr="00DD6FAC">
        <w:rPr>
          <w:rFonts w:ascii="Times New Roman" w:hAnsi="Times New Roman"/>
          <w:sz w:val="24"/>
          <w:szCs w:val="24"/>
        </w:rPr>
        <w:t>include retail banking products</w:t>
      </w:r>
      <w:r w:rsidR="006449B3" w:rsidRPr="00DD6FAC">
        <w:rPr>
          <w:rFonts w:ascii="Times New Roman" w:hAnsi="Times New Roman"/>
          <w:sz w:val="24"/>
          <w:szCs w:val="24"/>
        </w:rPr>
        <w:t xml:space="preserve">, but also </w:t>
      </w:r>
      <w:r w:rsidR="00C863EC" w:rsidRPr="00DD6FAC">
        <w:rPr>
          <w:rFonts w:ascii="Times New Roman" w:hAnsi="Times New Roman"/>
          <w:sz w:val="24"/>
          <w:szCs w:val="24"/>
        </w:rPr>
        <w:t>a wide range of up-market investment and finance related services, such as inter</w:t>
      </w:r>
      <w:r w:rsidR="002D29C0" w:rsidRPr="00DD6FAC">
        <w:rPr>
          <w:rFonts w:ascii="Times New Roman" w:hAnsi="Times New Roman"/>
          <w:sz w:val="24"/>
          <w:szCs w:val="24"/>
        </w:rPr>
        <w:t>-</w:t>
      </w:r>
      <w:r w:rsidR="00C863EC" w:rsidRPr="00DD6FAC">
        <w:rPr>
          <w:rFonts w:ascii="Times New Roman" w:hAnsi="Times New Roman"/>
          <w:sz w:val="24"/>
          <w:szCs w:val="24"/>
        </w:rPr>
        <w:t>generational wealth management</w:t>
      </w:r>
      <w:r w:rsidR="006449B3" w:rsidRPr="00DD6FAC">
        <w:rPr>
          <w:rFonts w:ascii="Times New Roman" w:hAnsi="Times New Roman"/>
          <w:sz w:val="24"/>
          <w:szCs w:val="24"/>
        </w:rPr>
        <w:t>.</w:t>
      </w:r>
    </w:p>
    <w:p w:rsidR="009F4FF2" w:rsidRPr="00DD6FAC" w:rsidRDefault="006449B3" w:rsidP="00DD6FAC">
      <w:pPr>
        <w:spacing w:line="480" w:lineRule="auto"/>
        <w:jc w:val="both"/>
        <w:rPr>
          <w:rFonts w:ascii="Times New Roman" w:hAnsi="Times New Roman"/>
          <w:sz w:val="24"/>
          <w:szCs w:val="24"/>
        </w:rPr>
      </w:pPr>
      <w:proofErr w:type="spellStart"/>
      <w:r w:rsidRPr="00DD6FAC">
        <w:rPr>
          <w:rFonts w:ascii="Times New Roman" w:hAnsi="Times New Roman"/>
          <w:sz w:val="24"/>
          <w:szCs w:val="24"/>
        </w:rPr>
        <w:t>Dufey</w:t>
      </w:r>
      <w:proofErr w:type="spellEnd"/>
      <w:r w:rsidRPr="00DD6FAC">
        <w:rPr>
          <w:rFonts w:ascii="Times New Roman" w:hAnsi="Times New Roman"/>
          <w:sz w:val="24"/>
          <w:szCs w:val="24"/>
        </w:rPr>
        <w:t xml:space="preserve"> (2009, p</w:t>
      </w:r>
      <w:r w:rsidR="008C03FD">
        <w:rPr>
          <w:rFonts w:ascii="Times New Roman" w:hAnsi="Times New Roman"/>
          <w:sz w:val="24"/>
          <w:szCs w:val="24"/>
        </w:rPr>
        <w:t>.</w:t>
      </w:r>
      <w:r w:rsidRPr="00DD6FAC">
        <w:rPr>
          <w:rFonts w:ascii="Times New Roman" w:hAnsi="Times New Roman"/>
          <w:sz w:val="24"/>
          <w:szCs w:val="24"/>
        </w:rPr>
        <w:t xml:space="preserve"> 3) traced the origin of private banking to </w:t>
      </w:r>
      <w:r w:rsidR="00C863EC" w:rsidRPr="00DD6FAC">
        <w:rPr>
          <w:rFonts w:ascii="Times New Roman" w:hAnsi="Times New Roman"/>
          <w:sz w:val="24"/>
          <w:szCs w:val="24"/>
        </w:rPr>
        <w:t xml:space="preserve">“a long history of authoritarian regimes, political persecutions and concomitant weak property rights, as well as confiscatory tax regimes…, wealthy individuals… keep a portion of their savings in a few neighboring jurisdictions that offer a high degree of confidentiality and freedom….” </w:t>
      </w:r>
      <w:r w:rsidRPr="00DD6FAC">
        <w:rPr>
          <w:rFonts w:ascii="Times New Roman" w:hAnsi="Times New Roman"/>
          <w:sz w:val="24"/>
          <w:szCs w:val="24"/>
        </w:rPr>
        <w:t xml:space="preserve"> Naturally, </w:t>
      </w:r>
      <w:r w:rsidR="00C863EC" w:rsidRPr="00DD6FAC">
        <w:rPr>
          <w:rFonts w:ascii="Times New Roman" w:hAnsi="Times New Roman"/>
          <w:sz w:val="24"/>
          <w:szCs w:val="24"/>
        </w:rPr>
        <w:t>the</w:t>
      </w:r>
      <w:r w:rsidRPr="00DD6FAC">
        <w:rPr>
          <w:rFonts w:ascii="Times New Roman" w:hAnsi="Times New Roman"/>
          <w:sz w:val="24"/>
          <w:szCs w:val="24"/>
        </w:rPr>
        <w:t>re exists a</w:t>
      </w:r>
      <w:r w:rsidR="00C863EC" w:rsidRPr="00DD6FAC">
        <w:rPr>
          <w:rFonts w:ascii="Times New Roman" w:hAnsi="Times New Roman"/>
          <w:sz w:val="24"/>
          <w:szCs w:val="24"/>
        </w:rPr>
        <w:t xml:space="preserve"> desire for privacy and confidentiality by these </w:t>
      </w:r>
      <w:r w:rsidRPr="00DD6FAC">
        <w:rPr>
          <w:rFonts w:ascii="Times New Roman" w:hAnsi="Times New Roman"/>
          <w:sz w:val="24"/>
          <w:szCs w:val="24"/>
        </w:rPr>
        <w:t>individuals;</w:t>
      </w:r>
      <w:r w:rsidR="00C863EC" w:rsidRPr="00DD6FAC">
        <w:rPr>
          <w:rFonts w:ascii="Times New Roman" w:hAnsi="Times New Roman"/>
          <w:sz w:val="24"/>
          <w:szCs w:val="24"/>
        </w:rPr>
        <w:t xml:space="preserve"> </w:t>
      </w:r>
      <w:r w:rsidRPr="00DD6FAC">
        <w:rPr>
          <w:rFonts w:ascii="Times New Roman" w:hAnsi="Times New Roman"/>
          <w:sz w:val="24"/>
          <w:szCs w:val="24"/>
        </w:rPr>
        <w:t xml:space="preserve">as such, </w:t>
      </w:r>
      <w:r w:rsidR="00C863EC" w:rsidRPr="00DD6FAC">
        <w:rPr>
          <w:rFonts w:ascii="Times New Roman" w:hAnsi="Times New Roman"/>
          <w:sz w:val="24"/>
          <w:szCs w:val="24"/>
        </w:rPr>
        <w:t xml:space="preserve">most of the business is conducted on </w:t>
      </w:r>
      <w:r w:rsidR="009F4FF2" w:rsidRPr="00DD6FAC">
        <w:rPr>
          <w:rFonts w:ascii="Times New Roman" w:hAnsi="Times New Roman"/>
          <w:sz w:val="24"/>
          <w:szCs w:val="24"/>
        </w:rPr>
        <w:t xml:space="preserve">a private and personal basis.  </w:t>
      </w:r>
    </w:p>
    <w:p w:rsidR="00C863EC" w:rsidRPr="00DD6FAC" w:rsidRDefault="009F4FF2" w:rsidP="00DD6FAC">
      <w:pPr>
        <w:spacing w:line="480" w:lineRule="auto"/>
        <w:jc w:val="both"/>
        <w:rPr>
          <w:rFonts w:ascii="Times New Roman" w:hAnsi="Times New Roman"/>
          <w:sz w:val="24"/>
          <w:szCs w:val="24"/>
        </w:rPr>
      </w:pPr>
      <w:r w:rsidRPr="00DD6FAC">
        <w:rPr>
          <w:rFonts w:ascii="Times New Roman" w:hAnsi="Times New Roman"/>
          <w:sz w:val="24"/>
          <w:szCs w:val="24"/>
        </w:rPr>
        <w:lastRenderedPageBreak/>
        <w:t xml:space="preserve">Based on the above findings, traditional private banking practices, as initiated in Europe, appears to </w:t>
      </w:r>
      <w:r w:rsidR="00444A7C" w:rsidRPr="00DD6FAC">
        <w:rPr>
          <w:rFonts w:ascii="Times New Roman" w:hAnsi="Times New Roman"/>
          <w:sz w:val="24"/>
          <w:szCs w:val="24"/>
        </w:rPr>
        <w:t xml:space="preserve">have products and services that are built to address </w:t>
      </w:r>
      <w:r w:rsidRPr="00DD6FAC">
        <w:rPr>
          <w:rFonts w:ascii="Times New Roman" w:hAnsi="Times New Roman"/>
          <w:sz w:val="24"/>
          <w:szCs w:val="24"/>
        </w:rPr>
        <w:t>three key characteristics</w:t>
      </w:r>
      <w:r w:rsidR="00444A7C" w:rsidRPr="00DD6FAC">
        <w:rPr>
          <w:rFonts w:ascii="Times New Roman" w:hAnsi="Times New Roman"/>
          <w:sz w:val="24"/>
          <w:szCs w:val="24"/>
        </w:rPr>
        <w:t xml:space="preserve"> displayed by </w:t>
      </w:r>
      <w:r w:rsidR="00F55B03" w:rsidRPr="00DD6FAC">
        <w:rPr>
          <w:rFonts w:ascii="Times New Roman" w:hAnsi="Times New Roman"/>
          <w:sz w:val="24"/>
          <w:szCs w:val="24"/>
        </w:rPr>
        <w:t xml:space="preserve">HNW </w:t>
      </w:r>
      <w:r w:rsidR="00444A7C" w:rsidRPr="00DD6FAC">
        <w:rPr>
          <w:rFonts w:ascii="Times New Roman" w:hAnsi="Times New Roman"/>
          <w:sz w:val="24"/>
          <w:szCs w:val="24"/>
        </w:rPr>
        <w:t>clients</w:t>
      </w:r>
      <w:r w:rsidRPr="00DD6FAC">
        <w:rPr>
          <w:rFonts w:ascii="Times New Roman" w:hAnsi="Times New Roman"/>
          <w:sz w:val="24"/>
          <w:szCs w:val="24"/>
        </w:rPr>
        <w:t>, a broadening of products and services with more investment characteristics, a more intertemporal and multi-generational perspective, and a bias towards wealth protection.</w:t>
      </w:r>
    </w:p>
    <w:p w:rsidR="000A0FB0" w:rsidRPr="00DD6FAC" w:rsidRDefault="009F4FF2" w:rsidP="00DD6FAC">
      <w:pPr>
        <w:autoSpaceDE w:val="0"/>
        <w:autoSpaceDN w:val="0"/>
        <w:adjustRightInd w:val="0"/>
        <w:spacing w:after="0" w:line="480" w:lineRule="auto"/>
        <w:jc w:val="both"/>
        <w:rPr>
          <w:rFonts w:ascii="Times New Roman" w:hAnsi="Times New Roman"/>
          <w:sz w:val="24"/>
          <w:szCs w:val="24"/>
        </w:rPr>
      </w:pPr>
      <w:r w:rsidRPr="00DD6FAC">
        <w:rPr>
          <w:rFonts w:ascii="Times New Roman" w:hAnsi="Times New Roman"/>
          <w:sz w:val="24"/>
          <w:szCs w:val="24"/>
        </w:rPr>
        <w:t>While p</w:t>
      </w:r>
      <w:r w:rsidR="00C863EC" w:rsidRPr="00DD6FAC">
        <w:rPr>
          <w:rFonts w:ascii="Times New Roman" w:hAnsi="Times New Roman"/>
          <w:sz w:val="24"/>
          <w:szCs w:val="24"/>
        </w:rPr>
        <w:t xml:space="preserve">rivate banking in </w:t>
      </w:r>
      <w:r w:rsidRPr="00DD6FAC">
        <w:rPr>
          <w:rFonts w:ascii="Times New Roman" w:hAnsi="Times New Roman"/>
          <w:sz w:val="24"/>
          <w:szCs w:val="24"/>
        </w:rPr>
        <w:t xml:space="preserve">Europe was primarily driven by multi-generational wealth, private banking in </w:t>
      </w:r>
      <w:r w:rsidR="00C863EC" w:rsidRPr="00DD6FAC">
        <w:rPr>
          <w:rFonts w:ascii="Times New Roman" w:hAnsi="Times New Roman"/>
          <w:sz w:val="24"/>
          <w:szCs w:val="24"/>
        </w:rPr>
        <w:t xml:space="preserve">the New World has been primarily driven by </w:t>
      </w:r>
      <w:r w:rsidRPr="00DD6FAC">
        <w:rPr>
          <w:rFonts w:ascii="Times New Roman" w:hAnsi="Times New Roman"/>
          <w:sz w:val="24"/>
          <w:szCs w:val="24"/>
        </w:rPr>
        <w:t xml:space="preserve">the amassing of wealth from </w:t>
      </w:r>
      <w:r w:rsidR="00C863EC" w:rsidRPr="00DD6FAC">
        <w:rPr>
          <w:rFonts w:ascii="Times New Roman" w:hAnsi="Times New Roman"/>
          <w:sz w:val="24"/>
          <w:szCs w:val="24"/>
        </w:rPr>
        <w:t>economic growth</w:t>
      </w:r>
      <w:r w:rsidRPr="00DD6FAC">
        <w:rPr>
          <w:rFonts w:ascii="Times New Roman" w:hAnsi="Times New Roman"/>
          <w:sz w:val="24"/>
          <w:szCs w:val="24"/>
        </w:rPr>
        <w:t>;</w:t>
      </w:r>
      <w:r w:rsidR="00C863EC" w:rsidRPr="00DD6FAC">
        <w:rPr>
          <w:rFonts w:ascii="Times New Roman" w:hAnsi="Times New Roman"/>
          <w:sz w:val="24"/>
          <w:szCs w:val="24"/>
        </w:rPr>
        <w:t xml:space="preserve"> from</w:t>
      </w:r>
      <w:r w:rsidR="00141860">
        <w:rPr>
          <w:rFonts w:ascii="Times New Roman" w:hAnsi="Times New Roman"/>
          <w:sz w:val="24"/>
          <w:szCs w:val="24"/>
        </w:rPr>
        <w:t xml:space="preserve"> the</w:t>
      </w:r>
      <w:r w:rsidR="00C863EC" w:rsidRPr="00DD6FAC">
        <w:rPr>
          <w:rFonts w:ascii="Times New Roman" w:hAnsi="Times New Roman"/>
          <w:sz w:val="24"/>
          <w:szCs w:val="24"/>
        </w:rPr>
        <w:t xml:space="preserve"> industrial revolution in the early 1900s</w:t>
      </w:r>
      <w:r w:rsidR="00141860">
        <w:rPr>
          <w:rFonts w:ascii="Times New Roman" w:hAnsi="Times New Roman"/>
          <w:sz w:val="24"/>
          <w:szCs w:val="24"/>
        </w:rPr>
        <w:t>,</w:t>
      </w:r>
      <w:r w:rsidR="00C863EC" w:rsidRPr="00DD6FAC">
        <w:rPr>
          <w:rFonts w:ascii="Times New Roman" w:hAnsi="Times New Roman"/>
          <w:sz w:val="24"/>
          <w:szCs w:val="24"/>
        </w:rPr>
        <w:t xml:space="preserve"> to </w:t>
      </w:r>
      <w:r w:rsidR="00141860">
        <w:rPr>
          <w:rFonts w:ascii="Times New Roman" w:hAnsi="Times New Roman"/>
          <w:sz w:val="24"/>
          <w:szCs w:val="24"/>
        </w:rPr>
        <w:t xml:space="preserve">the </w:t>
      </w:r>
      <w:r w:rsidR="00C863EC" w:rsidRPr="00DD6FAC">
        <w:rPr>
          <w:rFonts w:ascii="Times New Roman" w:hAnsi="Times New Roman"/>
          <w:sz w:val="24"/>
          <w:szCs w:val="24"/>
        </w:rPr>
        <w:t>technology revolution in recent decades.</w:t>
      </w:r>
      <w:r w:rsidR="002D29C0" w:rsidRPr="00DD6FAC">
        <w:rPr>
          <w:rFonts w:ascii="Times New Roman" w:hAnsi="Times New Roman"/>
          <w:sz w:val="24"/>
          <w:szCs w:val="24"/>
        </w:rPr>
        <w:t xml:space="preserve">  </w:t>
      </w:r>
    </w:p>
    <w:p w:rsidR="00DF75A8" w:rsidRPr="00DD6FAC" w:rsidRDefault="000A0FB0" w:rsidP="00DD6FAC">
      <w:pPr>
        <w:autoSpaceDE w:val="0"/>
        <w:autoSpaceDN w:val="0"/>
        <w:adjustRightInd w:val="0"/>
        <w:spacing w:after="0" w:line="480" w:lineRule="auto"/>
        <w:jc w:val="both"/>
        <w:rPr>
          <w:rFonts w:ascii="Times New Roman" w:hAnsi="Times New Roman"/>
          <w:sz w:val="24"/>
          <w:szCs w:val="24"/>
        </w:rPr>
      </w:pPr>
      <w:r w:rsidRPr="00DD6FAC">
        <w:rPr>
          <w:rFonts w:ascii="Times New Roman" w:hAnsi="Times New Roman"/>
          <w:sz w:val="24"/>
          <w:szCs w:val="24"/>
        </w:rPr>
        <w:t>This is the case as c</w:t>
      </w:r>
      <w:r w:rsidRPr="00DD6FAC">
        <w:rPr>
          <w:rFonts w:ascii="Times New Roman" w:eastAsiaTheme="minorEastAsia" w:hAnsi="Times New Roman"/>
          <w:sz w:val="24"/>
          <w:szCs w:val="24"/>
          <w:lang w:eastAsia="en-US"/>
        </w:rPr>
        <w:t xml:space="preserve">lients of </w:t>
      </w:r>
      <w:r w:rsidRPr="00DD6FAC">
        <w:rPr>
          <w:rFonts w:ascii="Times New Roman" w:hAnsi="Times New Roman"/>
          <w:sz w:val="24"/>
          <w:szCs w:val="24"/>
        </w:rPr>
        <w:t>traditional US private bank</w:t>
      </w:r>
      <w:r w:rsidRPr="00DD6FAC">
        <w:rPr>
          <w:rFonts w:ascii="Times New Roman" w:eastAsiaTheme="minorEastAsia" w:hAnsi="Times New Roman"/>
          <w:sz w:val="24"/>
          <w:szCs w:val="24"/>
          <w:lang w:eastAsia="en-US"/>
        </w:rPr>
        <w:t xml:space="preserve"> generally did business with the bank to “…purchase credit products, such as mortgages and other loans, and held traditional deposit accounts</w:t>
      </w:r>
      <w:r w:rsidR="008C03FD">
        <w:rPr>
          <w:rFonts w:ascii="Times New Roman" w:eastAsiaTheme="minorEastAsia" w:hAnsi="Times New Roman"/>
          <w:sz w:val="24"/>
          <w:szCs w:val="24"/>
          <w:lang w:eastAsia="en-US"/>
        </w:rPr>
        <w:t xml:space="preserve"> (</w:t>
      </w:r>
      <w:r w:rsidR="008C03FD" w:rsidRPr="00DD6FAC">
        <w:rPr>
          <w:rFonts w:ascii="Times New Roman" w:eastAsiaTheme="minorEastAsia" w:hAnsi="Times New Roman"/>
          <w:sz w:val="24"/>
          <w:szCs w:val="24"/>
          <w:lang w:eastAsia="en-US"/>
        </w:rPr>
        <w:t>Vincent</w:t>
      </w:r>
      <w:r w:rsidR="008C03FD">
        <w:rPr>
          <w:rFonts w:ascii="Times New Roman" w:eastAsiaTheme="minorEastAsia" w:hAnsi="Times New Roman"/>
          <w:sz w:val="24"/>
          <w:szCs w:val="24"/>
          <w:lang w:eastAsia="en-US"/>
        </w:rPr>
        <w:t xml:space="preserve">, </w:t>
      </w:r>
      <w:r w:rsidR="008C03FD" w:rsidRPr="00DD6FAC">
        <w:rPr>
          <w:rFonts w:ascii="Times New Roman" w:hAnsi="Times New Roman"/>
          <w:sz w:val="24"/>
          <w:szCs w:val="24"/>
        </w:rPr>
        <w:t>2010, p.6.)</w:t>
      </w:r>
      <w:r w:rsidRPr="00DD6FAC">
        <w:rPr>
          <w:rFonts w:ascii="Times New Roman" w:eastAsiaTheme="minorEastAsia" w:hAnsi="Times New Roman"/>
          <w:sz w:val="24"/>
          <w:szCs w:val="24"/>
          <w:lang w:eastAsia="en-US"/>
        </w:rPr>
        <w:t xml:space="preserve">.  As a result, US private banks typically have a relatively small market share among ultra high-net-worth (UHNW) individuals of the European type.  US private bankers also </w:t>
      </w:r>
      <w:r w:rsidR="008C03FD">
        <w:rPr>
          <w:rFonts w:ascii="Times New Roman" w:eastAsiaTheme="minorEastAsia" w:hAnsi="Times New Roman"/>
          <w:sz w:val="24"/>
          <w:szCs w:val="24"/>
          <w:lang w:eastAsia="en-US"/>
        </w:rPr>
        <w:t xml:space="preserve">find </w:t>
      </w:r>
      <w:r w:rsidRPr="00DD6FAC">
        <w:rPr>
          <w:rFonts w:ascii="Times New Roman" w:eastAsiaTheme="minorEastAsia" w:hAnsi="Times New Roman"/>
          <w:sz w:val="24"/>
          <w:szCs w:val="24"/>
          <w:lang w:eastAsia="en-US"/>
        </w:rPr>
        <w:t xml:space="preserve">it difficult to win over the HNWI clients’ liquid assets from competition as wealthy individuals typically make new allocation decisions regarding their investable assets on an infrequent basis.  </w:t>
      </w:r>
      <w:r w:rsidRPr="00DD6FAC">
        <w:rPr>
          <w:rFonts w:ascii="Times New Roman" w:hAnsi="Times New Roman"/>
          <w:sz w:val="24"/>
          <w:szCs w:val="24"/>
        </w:rPr>
        <w:t xml:space="preserve">Over time, US private banks </w:t>
      </w:r>
      <w:r w:rsidRPr="00DD6FAC">
        <w:rPr>
          <w:rFonts w:ascii="Times New Roman" w:eastAsiaTheme="minorEastAsia" w:hAnsi="Times New Roman"/>
          <w:sz w:val="24"/>
          <w:szCs w:val="24"/>
          <w:lang w:eastAsia="en-US"/>
        </w:rPr>
        <w:t>realized that more than two thirds of UHNW individuals in the U.S. are entrepreneurs with their weal</w:t>
      </w:r>
      <w:r w:rsidR="008C03FD">
        <w:rPr>
          <w:rFonts w:ascii="Times New Roman" w:eastAsiaTheme="minorEastAsia" w:hAnsi="Times New Roman"/>
          <w:sz w:val="24"/>
          <w:szCs w:val="24"/>
          <w:lang w:eastAsia="en-US"/>
        </w:rPr>
        <w:t xml:space="preserve">th created from economic growth.  According to </w:t>
      </w:r>
      <w:r w:rsidRPr="00DD6FAC">
        <w:rPr>
          <w:rFonts w:ascii="Times New Roman" w:eastAsiaTheme="minorEastAsia" w:hAnsi="Times New Roman"/>
          <w:sz w:val="24"/>
          <w:szCs w:val="24"/>
          <w:lang w:eastAsia="en-US"/>
        </w:rPr>
        <w:t>Vincent</w:t>
      </w:r>
      <w:r w:rsidR="008C03FD">
        <w:rPr>
          <w:rFonts w:ascii="Times New Roman" w:hAnsi="Times New Roman"/>
          <w:sz w:val="24"/>
          <w:szCs w:val="24"/>
        </w:rPr>
        <w:t xml:space="preserve"> (2010</w:t>
      </w:r>
      <w:r w:rsidRPr="00DD6FAC">
        <w:rPr>
          <w:rFonts w:ascii="Times New Roman" w:hAnsi="Times New Roman"/>
          <w:sz w:val="24"/>
          <w:szCs w:val="24"/>
        </w:rPr>
        <w:t>)</w:t>
      </w:r>
      <w:r w:rsidR="00C31D9C">
        <w:rPr>
          <w:rFonts w:ascii="Times New Roman" w:hAnsi="Times New Roman"/>
          <w:sz w:val="24"/>
          <w:szCs w:val="24"/>
        </w:rPr>
        <w:t>,</w:t>
      </w:r>
      <w:r w:rsidR="00C31D9C" w:rsidRPr="00DD6FAC">
        <w:rPr>
          <w:rFonts w:ascii="Times New Roman" w:hAnsi="Times New Roman"/>
          <w:sz w:val="24"/>
          <w:szCs w:val="24"/>
        </w:rPr>
        <w:t xml:space="preserve"> US</w:t>
      </w:r>
      <w:r w:rsidR="00FE5852" w:rsidRPr="00DD6FAC">
        <w:rPr>
          <w:rFonts w:ascii="Times New Roman" w:hAnsi="Times New Roman"/>
          <w:sz w:val="24"/>
          <w:szCs w:val="24"/>
        </w:rPr>
        <w:t xml:space="preserve"> private bankers </w:t>
      </w:r>
      <w:r w:rsidR="00FE5852" w:rsidRPr="00DD6FAC">
        <w:rPr>
          <w:rFonts w:ascii="Times New Roman" w:eastAsiaTheme="minorEastAsia" w:hAnsi="Times New Roman"/>
          <w:sz w:val="24"/>
          <w:szCs w:val="24"/>
          <w:lang w:eastAsia="en-US"/>
        </w:rPr>
        <w:t>found that the UHNW entrepreneurs behave differently.  As a large amount of the entrepreneurs’ net worth encompasses illiquid assets in their business interests, they are often overlooked by traditional private banks that only target UHNW individuals with large pools of investable assets, such as families who have inherited wealth.  Furthermore, client</w:t>
      </w:r>
      <w:r w:rsidR="008C03FD">
        <w:rPr>
          <w:rFonts w:ascii="Times New Roman" w:eastAsiaTheme="minorEastAsia" w:hAnsi="Times New Roman"/>
          <w:sz w:val="24"/>
          <w:szCs w:val="24"/>
          <w:lang w:eastAsia="en-US"/>
        </w:rPr>
        <w:t>s</w:t>
      </w:r>
      <w:r w:rsidR="00FE5852" w:rsidRPr="00DD6FAC">
        <w:rPr>
          <w:rFonts w:ascii="Times New Roman" w:eastAsiaTheme="minorEastAsia" w:hAnsi="Times New Roman"/>
          <w:sz w:val="24"/>
          <w:szCs w:val="24"/>
          <w:lang w:eastAsia="en-US"/>
        </w:rPr>
        <w:t xml:space="preserve"> from the entrepreneurial segment have to make decisions on </w:t>
      </w:r>
      <w:r w:rsidR="00FE5852" w:rsidRPr="00DD6FAC">
        <w:rPr>
          <w:rFonts w:ascii="Times New Roman" w:eastAsiaTheme="minorEastAsia" w:hAnsi="Times New Roman"/>
          <w:sz w:val="24"/>
          <w:szCs w:val="24"/>
          <w:lang w:eastAsia="en-US"/>
        </w:rPr>
        <w:lastRenderedPageBreak/>
        <w:t xml:space="preserve">a frequent basis regarding their businesses in the form of capital funding for growth opportunities.  As such, existing relationships with these entrepreneurs on the commercial side gives private bankers access to the investable assets of these clients.  </w:t>
      </w:r>
      <w:r w:rsidR="006C64AF" w:rsidRPr="00DD6FAC">
        <w:rPr>
          <w:rFonts w:ascii="Times New Roman" w:eastAsiaTheme="minorEastAsia" w:hAnsi="Times New Roman"/>
          <w:sz w:val="24"/>
          <w:szCs w:val="24"/>
          <w:lang w:eastAsia="en-US"/>
        </w:rPr>
        <w:t xml:space="preserve">This </w:t>
      </w:r>
      <w:r w:rsidR="008C03FD">
        <w:rPr>
          <w:rFonts w:ascii="Times New Roman" w:eastAsiaTheme="minorEastAsia" w:hAnsi="Times New Roman"/>
          <w:sz w:val="24"/>
          <w:szCs w:val="24"/>
          <w:lang w:eastAsia="en-US"/>
        </w:rPr>
        <w:t xml:space="preserve">phenomenon </w:t>
      </w:r>
      <w:r w:rsidR="006C64AF" w:rsidRPr="00DD6FAC">
        <w:rPr>
          <w:rFonts w:ascii="Times New Roman" w:eastAsiaTheme="minorEastAsia" w:hAnsi="Times New Roman"/>
          <w:sz w:val="24"/>
          <w:szCs w:val="24"/>
          <w:lang w:eastAsia="en-US"/>
        </w:rPr>
        <w:t xml:space="preserve">is even more </w:t>
      </w:r>
      <w:r w:rsidR="008C03FD">
        <w:rPr>
          <w:rFonts w:ascii="Times New Roman" w:eastAsiaTheme="minorEastAsia" w:hAnsi="Times New Roman"/>
          <w:sz w:val="24"/>
          <w:szCs w:val="24"/>
          <w:lang w:eastAsia="en-US"/>
        </w:rPr>
        <w:t>acute</w:t>
      </w:r>
      <w:r w:rsidR="006C64AF" w:rsidRPr="00DD6FAC">
        <w:rPr>
          <w:rFonts w:ascii="Times New Roman" w:eastAsiaTheme="minorEastAsia" w:hAnsi="Times New Roman"/>
          <w:sz w:val="24"/>
          <w:szCs w:val="24"/>
          <w:lang w:eastAsia="en-US"/>
        </w:rPr>
        <w:t xml:space="preserve"> with the r</w:t>
      </w:r>
      <w:r w:rsidR="009F4FF2" w:rsidRPr="00DD6FAC">
        <w:rPr>
          <w:rFonts w:ascii="Times New Roman" w:hAnsi="Times New Roman"/>
          <w:sz w:val="24"/>
          <w:szCs w:val="24"/>
        </w:rPr>
        <w:t xml:space="preserve">ecent economic </w:t>
      </w:r>
      <w:r w:rsidR="002D29C0" w:rsidRPr="00DD6FAC">
        <w:rPr>
          <w:rFonts w:ascii="Times New Roman" w:hAnsi="Times New Roman"/>
          <w:sz w:val="24"/>
          <w:szCs w:val="24"/>
        </w:rPr>
        <w:t xml:space="preserve">growth fueled by deregulation </w:t>
      </w:r>
      <w:r w:rsidR="00DF75A8" w:rsidRPr="00DD6FAC">
        <w:rPr>
          <w:rFonts w:ascii="Times New Roman" w:hAnsi="Times New Roman"/>
          <w:sz w:val="24"/>
          <w:szCs w:val="24"/>
        </w:rPr>
        <w:t xml:space="preserve">in industries such as telecommunications </w:t>
      </w:r>
      <w:r w:rsidR="002D29C0" w:rsidRPr="00DD6FAC">
        <w:rPr>
          <w:rFonts w:ascii="Times New Roman" w:hAnsi="Times New Roman"/>
          <w:sz w:val="24"/>
          <w:szCs w:val="24"/>
        </w:rPr>
        <w:t xml:space="preserve">and </w:t>
      </w:r>
      <w:r w:rsidR="006C64AF" w:rsidRPr="00DD6FAC">
        <w:rPr>
          <w:rFonts w:ascii="Times New Roman" w:hAnsi="Times New Roman"/>
          <w:sz w:val="24"/>
          <w:szCs w:val="24"/>
        </w:rPr>
        <w:t xml:space="preserve">business opportunities in </w:t>
      </w:r>
      <w:r w:rsidR="00DF75A8" w:rsidRPr="00DD6FAC">
        <w:rPr>
          <w:rFonts w:ascii="Times New Roman" w:hAnsi="Times New Roman"/>
          <w:sz w:val="24"/>
          <w:szCs w:val="24"/>
        </w:rPr>
        <w:t xml:space="preserve">technology development.  </w:t>
      </w:r>
    </w:p>
    <w:p w:rsidR="006C64AF" w:rsidRPr="00DD6FAC" w:rsidRDefault="008C03FD" w:rsidP="00DD6FAC">
      <w:pPr>
        <w:spacing w:line="480" w:lineRule="auto"/>
        <w:jc w:val="both"/>
        <w:rPr>
          <w:rFonts w:ascii="Times New Roman" w:hAnsi="Times New Roman"/>
          <w:sz w:val="24"/>
          <w:szCs w:val="24"/>
        </w:rPr>
      </w:pPr>
      <w:r>
        <w:rPr>
          <w:rFonts w:ascii="Times New Roman" w:hAnsi="Times New Roman"/>
          <w:sz w:val="24"/>
          <w:szCs w:val="24"/>
        </w:rPr>
        <w:t>While the demand side</w:t>
      </w:r>
      <w:r w:rsidR="00DF75A8" w:rsidRPr="00DD6FAC">
        <w:rPr>
          <w:rFonts w:ascii="Times New Roman" w:hAnsi="Times New Roman"/>
          <w:sz w:val="24"/>
          <w:szCs w:val="24"/>
        </w:rPr>
        <w:t xml:space="preserve"> was fueled by economic growth as a result of deregulation, deregulation and </w:t>
      </w:r>
      <w:r w:rsidR="002D29C0" w:rsidRPr="00DD6FAC">
        <w:rPr>
          <w:rFonts w:ascii="Times New Roman" w:hAnsi="Times New Roman"/>
          <w:sz w:val="24"/>
          <w:szCs w:val="24"/>
        </w:rPr>
        <w:t>in the banking sector in the Reaga</w:t>
      </w:r>
      <w:r w:rsidR="00420E4D" w:rsidRPr="00DD6FAC">
        <w:rPr>
          <w:rFonts w:ascii="Times New Roman" w:hAnsi="Times New Roman"/>
          <w:sz w:val="24"/>
          <w:szCs w:val="24"/>
        </w:rPr>
        <w:t xml:space="preserve">n </w:t>
      </w:r>
      <w:r w:rsidR="002D29C0" w:rsidRPr="00DD6FAC">
        <w:rPr>
          <w:rFonts w:ascii="Times New Roman" w:hAnsi="Times New Roman"/>
          <w:sz w:val="24"/>
          <w:szCs w:val="24"/>
        </w:rPr>
        <w:t>era</w:t>
      </w:r>
      <w:r w:rsidR="00DF75A8" w:rsidRPr="00DD6FAC">
        <w:rPr>
          <w:rFonts w:ascii="Times New Roman" w:hAnsi="Times New Roman"/>
          <w:sz w:val="24"/>
          <w:szCs w:val="24"/>
        </w:rPr>
        <w:t xml:space="preserve"> also fueled increase competition on the supply side to retail banks giving </w:t>
      </w:r>
      <w:r w:rsidR="002D29C0" w:rsidRPr="00DD6FAC">
        <w:rPr>
          <w:rFonts w:ascii="Times New Roman" w:hAnsi="Times New Roman"/>
          <w:sz w:val="24"/>
          <w:szCs w:val="24"/>
        </w:rPr>
        <w:t>rise to significant competition and a customer-centric environment</w:t>
      </w:r>
      <w:r w:rsidR="00420E4D" w:rsidRPr="00DD6FAC">
        <w:rPr>
          <w:rFonts w:ascii="Times New Roman" w:hAnsi="Times New Roman"/>
          <w:sz w:val="24"/>
          <w:szCs w:val="24"/>
        </w:rPr>
        <w:t>,</w:t>
      </w:r>
      <w:r w:rsidR="002D29C0" w:rsidRPr="00DD6FAC">
        <w:rPr>
          <w:rFonts w:ascii="Times New Roman" w:hAnsi="Times New Roman"/>
          <w:sz w:val="24"/>
          <w:szCs w:val="24"/>
        </w:rPr>
        <w:t xml:space="preserve"> resulting in the need for banks to </w:t>
      </w:r>
      <w:r w:rsidR="006C64AF" w:rsidRPr="00DD6FAC">
        <w:rPr>
          <w:rFonts w:ascii="Times New Roman" w:hAnsi="Times New Roman"/>
          <w:sz w:val="24"/>
          <w:szCs w:val="24"/>
        </w:rPr>
        <w:t xml:space="preserve">further </w:t>
      </w:r>
      <w:r w:rsidR="002D29C0" w:rsidRPr="00DD6FAC">
        <w:rPr>
          <w:rFonts w:ascii="Times New Roman" w:hAnsi="Times New Roman"/>
          <w:sz w:val="24"/>
          <w:szCs w:val="24"/>
        </w:rPr>
        <w:t>segment</w:t>
      </w:r>
      <w:r w:rsidR="006C64AF" w:rsidRPr="00DD6FAC">
        <w:rPr>
          <w:rFonts w:ascii="Times New Roman" w:hAnsi="Times New Roman"/>
          <w:sz w:val="24"/>
          <w:szCs w:val="24"/>
        </w:rPr>
        <w:t>ation of their clients</w:t>
      </w:r>
      <w:r w:rsidR="002D29C0" w:rsidRPr="00DD6FAC">
        <w:rPr>
          <w:rFonts w:ascii="Times New Roman" w:hAnsi="Times New Roman"/>
          <w:sz w:val="24"/>
          <w:szCs w:val="24"/>
        </w:rPr>
        <w:t xml:space="preserve"> and </w:t>
      </w:r>
      <w:r w:rsidR="006C64AF" w:rsidRPr="00DD6FAC">
        <w:rPr>
          <w:rFonts w:ascii="Times New Roman" w:hAnsi="Times New Roman"/>
          <w:sz w:val="24"/>
          <w:szCs w:val="24"/>
        </w:rPr>
        <w:t xml:space="preserve">effectively </w:t>
      </w:r>
      <w:r w:rsidR="002D29C0" w:rsidRPr="00DD6FAC">
        <w:rPr>
          <w:rFonts w:ascii="Times New Roman" w:hAnsi="Times New Roman"/>
          <w:sz w:val="24"/>
          <w:szCs w:val="24"/>
        </w:rPr>
        <w:t>serve their customers.</w:t>
      </w:r>
    </w:p>
    <w:p w:rsidR="00C863EC" w:rsidRPr="00DD6FAC" w:rsidRDefault="006C64AF" w:rsidP="00DD6FAC">
      <w:pPr>
        <w:spacing w:line="480" w:lineRule="auto"/>
        <w:jc w:val="both"/>
        <w:rPr>
          <w:rFonts w:ascii="Times New Roman" w:hAnsi="Times New Roman"/>
          <w:sz w:val="24"/>
          <w:szCs w:val="24"/>
        </w:rPr>
      </w:pPr>
      <w:r w:rsidRPr="00DD6FAC">
        <w:rPr>
          <w:rFonts w:ascii="Times New Roman" w:hAnsi="Times New Roman"/>
          <w:sz w:val="24"/>
          <w:szCs w:val="24"/>
        </w:rPr>
        <w:t>In sum, US private banks tend to serve HNW clients of a different nature from the European ones.  While the European</w:t>
      </w:r>
      <w:r w:rsidR="002324BC">
        <w:rPr>
          <w:rFonts w:ascii="Times New Roman" w:hAnsi="Times New Roman"/>
          <w:sz w:val="24"/>
          <w:szCs w:val="24"/>
        </w:rPr>
        <w:t>s</w:t>
      </w:r>
      <w:r w:rsidRPr="00DD6FAC">
        <w:rPr>
          <w:rFonts w:ascii="Times New Roman" w:hAnsi="Times New Roman"/>
          <w:sz w:val="24"/>
          <w:szCs w:val="24"/>
        </w:rPr>
        <w:t xml:space="preserve"> are of a more multi-generation wealth preservation perspective, the </w:t>
      </w:r>
      <w:r w:rsidR="002324BC">
        <w:rPr>
          <w:rFonts w:ascii="Times New Roman" w:hAnsi="Times New Roman"/>
          <w:sz w:val="24"/>
          <w:szCs w:val="24"/>
        </w:rPr>
        <w:t>Americans work toward</w:t>
      </w:r>
      <w:r w:rsidRPr="00DD6FAC">
        <w:rPr>
          <w:rFonts w:ascii="Times New Roman" w:hAnsi="Times New Roman"/>
          <w:sz w:val="24"/>
          <w:szCs w:val="24"/>
        </w:rPr>
        <w:t xml:space="preserve"> a more wealth creation perspective.  </w:t>
      </w:r>
      <w:r w:rsidR="00F55B03" w:rsidRPr="00DD6FAC">
        <w:rPr>
          <w:rFonts w:ascii="Times New Roman" w:hAnsi="Times New Roman"/>
          <w:sz w:val="24"/>
          <w:szCs w:val="24"/>
        </w:rPr>
        <w:t>Frequently, the European type clients are referred to as “Old-money,” while the American type clients are referred to as “New-money.”</w:t>
      </w:r>
    </w:p>
    <w:p w:rsidR="00473BB0" w:rsidRPr="00DD6FAC" w:rsidRDefault="00C863EC" w:rsidP="00DD6FAC">
      <w:pPr>
        <w:spacing w:line="480" w:lineRule="auto"/>
        <w:jc w:val="both"/>
        <w:rPr>
          <w:rFonts w:ascii="Times New Roman" w:hAnsi="Times New Roman"/>
          <w:sz w:val="24"/>
          <w:szCs w:val="24"/>
        </w:rPr>
      </w:pPr>
      <w:r w:rsidRPr="00DD6FAC">
        <w:rPr>
          <w:rFonts w:ascii="Times New Roman" w:hAnsi="Times New Roman"/>
          <w:sz w:val="24"/>
          <w:szCs w:val="24"/>
        </w:rPr>
        <w:t>Asia</w:t>
      </w:r>
      <w:r w:rsidR="006C64AF" w:rsidRPr="00DD6FAC">
        <w:rPr>
          <w:rFonts w:ascii="Times New Roman" w:hAnsi="Times New Roman"/>
          <w:sz w:val="24"/>
          <w:szCs w:val="24"/>
        </w:rPr>
        <w:t>, in the meantime,</w:t>
      </w:r>
      <w:r w:rsidRPr="00DD6FAC">
        <w:rPr>
          <w:rFonts w:ascii="Times New Roman" w:hAnsi="Times New Roman"/>
          <w:sz w:val="24"/>
          <w:szCs w:val="24"/>
        </w:rPr>
        <w:t xml:space="preserve"> has also experienced tremendous growth in recent years as a result of </w:t>
      </w:r>
      <w:r w:rsidR="005E1081" w:rsidRPr="00DD6FAC">
        <w:rPr>
          <w:rFonts w:ascii="Times New Roman" w:hAnsi="Times New Roman"/>
          <w:sz w:val="24"/>
          <w:szCs w:val="24"/>
        </w:rPr>
        <w:t xml:space="preserve">both political and economic </w:t>
      </w:r>
      <w:r w:rsidRPr="00DD6FAC">
        <w:rPr>
          <w:rFonts w:ascii="Times New Roman" w:hAnsi="Times New Roman"/>
          <w:sz w:val="24"/>
          <w:szCs w:val="24"/>
        </w:rPr>
        <w:t>liberalization</w:t>
      </w:r>
      <w:r w:rsidR="005E1081" w:rsidRPr="00DD6FAC">
        <w:rPr>
          <w:rFonts w:ascii="Times New Roman" w:hAnsi="Times New Roman"/>
          <w:sz w:val="24"/>
          <w:szCs w:val="24"/>
        </w:rPr>
        <w:t xml:space="preserve">.  </w:t>
      </w:r>
      <w:proofErr w:type="spellStart"/>
      <w:r w:rsidRPr="00DD6FAC">
        <w:rPr>
          <w:rFonts w:ascii="Times New Roman" w:hAnsi="Times New Roman"/>
          <w:sz w:val="24"/>
          <w:szCs w:val="24"/>
        </w:rPr>
        <w:t>Dufey</w:t>
      </w:r>
      <w:proofErr w:type="spellEnd"/>
      <w:r w:rsidRPr="00DD6FAC">
        <w:rPr>
          <w:rFonts w:ascii="Times New Roman" w:hAnsi="Times New Roman"/>
          <w:sz w:val="24"/>
          <w:szCs w:val="24"/>
        </w:rPr>
        <w:t xml:space="preserve"> (2009</w:t>
      </w:r>
      <w:r w:rsidR="00E24055" w:rsidRPr="00DD6FAC">
        <w:rPr>
          <w:rFonts w:ascii="Times New Roman" w:hAnsi="Times New Roman"/>
          <w:sz w:val="24"/>
          <w:szCs w:val="24"/>
        </w:rPr>
        <w:t>, p. 4</w:t>
      </w:r>
      <w:r w:rsidRPr="00DD6FAC">
        <w:rPr>
          <w:rFonts w:ascii="Times New Roman" w:hAnsi="Times New Roman"/>
          <w:sz w:val="24"/>
          <w:szCs w:val="24"/>
        </w:rPr>
        <w:t xml:space="preserve">) suggested that “… when the colonial period had ended, local wars began to die down, and countries started to migrate from a restrictive and highly political socialist model of development to an economically-driven growth-path based on private ownership and free enterprise…”  </w:t>
      </w:r>
      <w:r w:rsidR="006C64AF" w:rsidRPr="00DD6FAC">
        <w:rPr>
          <w:rFonts w:ascii="Times New Roman" w:hAnsi="Times New Roman"/>
          <w:sz w:val="24"/>
          <w:szCs w:val="24"/>
        </w:rPr>
        <w:t xml:space="preserve">The Asian private banking clients appear to possess traits of </w:t>
      </w:r>
      <w:r w:rsidR="00473BB0" w:rsidRPr="00DD6FAC">
        <w:rPr>
          <w:rFonts w:ascii="Times New Roman" w:hAnsi="Times New Roman"/>
          <w:sz w:val="24"/>
          <w:szCs w:val="24"/>
        </w:rPr>
        <w:t xml:space="preserve">both </w:t>
      </w:r>
      <w:r w:rsidR="006C64AF" w:rsidRPr="00DD6FAC">
        <w:rPr>
          <w:rFonts w:ascii="Times New Roman" w:hAnsi="Times New Roman"/>
          <w:sz w:val="24"/>
          <w:szCs w:val="24"/>
        </w:rPr>
        <w:t xml:space="preserve">the </w:t>
      </w:r>
      <w:r w:rsidR="00473BB0" w:rsidRPr="00DD6FAC">
        <w:rPr>
          <w:rFonts w:ascii="Times New Roman" w:hAnsi="Times New Roman"/>
          <w:sz w:val="24"/>
          <w:szCs w:val="24"/>
        </w:rPr>
        <w:t xml:space="preserve">typical </w:t>
      </w:r>
      <w:r w:rsidR="006C64AF" w:rsidRPr="00DD6FAC">
        <w:rPr>
          <w:rFonts w:ascii="Times New Roman" w:hAnsi="Times New Roman"/>
          <w:sz w:val="24"/>
          <w:szCs w:val="24"/>
        </w:rPr>
        <w:t>European clients</w:t>
      </w:r>
      <w:r w:rsidR="00473BB0" w:rsidRPr="00DD6FAC">
        <w:rPr>
          <w:rFonts w:ascii="Times New Roman" w:hAnsi="Times New Roman"/>
          <w:sz w:val="24"/>
          <w:szCs w:val="24"/>
        </w:rPr>
        <w:t xml:space="preserve"> as well as those of the typical US clients.  On the one hand</w:t>
      </w:r>
      <w:r w:rsidR="006C64AF" w:rsidRPr="00DD6FAC">
        <w:rPr>
          <w:rFonts w:ascii="Times New Roman" w:hAnsi="Times New Roman"/>
          <w:sz w:val="24"/>
          <w:szCs w:val="24"/>
        </w:rPr>
        <w:t>,</w:t>
      </w:r>
      <w:r w:rsidR="00473BB0" w:rsidRPr="00DD6FAC">
        <w:rPr>
          <w:rFonts w:ascii="Times New Roman" w:hAnsi="Times New Roman"/>
          <w:sz w:val="24"/>
          <w:szCs w:val="24"/>
        </w:rPr>
        <w:t xml:space="preserve"> they are clients, like their </w:t>
      </w:r>
      <w:r w:rsidR="00473BB0" w:rsidRPr="00DD6FAC">
        <w:rPr>
          <w:rFonts w:ascii="Times New Roman" w:hAnsi="Times New Roman"/>
          <w:sz w:val="24"/>
          <w:szCs w:val="24"/>
        </w:rPr>
        <w:lastRenderedPageBreak/>
        <w:t xml:space="preserve">European counterparts, that emerged </w:t>
      </w:r>
      <w:r w:rsidR="006C64AF" w:rsidRPr="00DD6FAC">
        <w:rPr>
          <w:rFonts w:ascii="Times New Roman" w:hAnsi="Times New Roman"/>
          <w:sz w:val="24"/>
          <w:szCs w:val="24"/>
        </w:rPr>
        <w:t>from political instability</w:t>
      </w:r>
      <w:r w:rsidR="00473BB0" w:rsidRPr="00DD6FAC">
        <w:rPr>
          <w:rFonts w:ascii="Times New Roman" w:hAnsi="Times New Roman"/>
          <w:sz w:val="24"/>
          <w:szCs w:val="24"/>
        </w:rPr>
        <w:t xml:space="preserve"> and, hence, have a desire for wealth protection.  On the other hand, they are clients, like their US counterparts, confronted with significant economic opportunities for further growth in wealth.</w:t>
      </w:r>
      <w:r w:rsidR="005E1081" w:rsidRPr="00DD6FAC">
        <w:rPr>
          <w:rFonts w:ascii="Times New Roman" w:hAnsi="Times New Roman"/>
          <w:sz w:val="24"/>
          <w:szCs w:val="24"/>
        </w:rPr>
        <w:t xml:space="preserve">  According to a Capgemini, in 2012, the number of individuals in Asia-Pacific with at least $1 million in investable assets is reported to be at 3.37 million, outnumbering North America (3.35 million) for the first time. </w:t>
      </w:r>
    </w:p>
    <w:p w:rsidR="00473BB0" w:rsidRPr="00DD6FAC" w:rsidRDefault="00473BB0" w:rsidP="00DD6FAC">
      <w:pPr>
        <w:spacing w:line="480" w:lineRule="auto"/>
        <w:jc w:val="both"/>
        <w:rPr>
          <w:rFonts w:ascii="Times New Roman" w:hAnsi="Times New Roman"/>
          <w:sz w:val="24"/>
          <w:szCs w:val="24"/>
        </w:rPr>
      </w:pPr>
      <w:r w:rsidRPr="00DD6FAC">
        <w:rPr>
          <w:rFonts w:ascii="Times New Roman" w:hAnsi="Times New Roman"/>
          <w:sz w:val="24"/>
          <w:szCs w:val="24"/>
        </w:rPr>
        <w:t>Based on the above, it is clear that private banking clients are unlike the typical retail banking clients.  They display behavioral characteristics that warrant further examination.  This is consistent with the general literature in the area of behavioral finance (</w:t>
      </w:r>
      <w:proofErr w:type="spellStart"/>
      <w:r w:rsidRPr="00DD6FAC">
        <w:rPr>
          <w:rFonts w:ascii="Times New Roman" w:hAnsi="Times New Roman"/>
          <w:sz w:val="24"/>
          <w:szCs w:val="24"/>
        </w:rPr>
        <w:t>Kahneman</w:t>
      </w:r>
      <w:proofErr w:type="spellEnd"/>
      <w:r w:rsidRPr="00DD6FAC">
        <w:rPr>
          <w:rFonts w:ascii="Times New Roman" w:hAnsi="Times New Roman"/>
          <w:sz w:val="24"/>
          <w:szCs w:val="24"/>
        </w:rPr>
        <w:t xml:space="preserve"> and </w:t>
      </w:r>
      <w:proofErr w:type="spellStart"/>
      <w:r w:rsidRPr="00DD6FAC">
        <w:rPr>
          <w:rFonts w:ascii="Times New Roman" w:hAnsi="Times New Roman"/>
          <w:sz w:val="24"/>
          <w:szCs w:val="24"/>
        </w:rPr>
        <w:t>Riepe</w:t>
      </w:r>
      <w:proofErr w:type="spellEnd"/>
      <w:r w:rsidRPr="00DD6FAC">
        <w:rPr>
          <w:rFonts w:ascii="Times New Roman" w:hAnsi="Times New Roman"/>
          <w:sz w:val="24"/>
          <w:szCs w:val="24"/>
        </w:rPr>
        <w:t xml:space="preserve">, 1998, </w:t>
      </w:r>
      <w:proofErr w:type="spellStart"/>
      <w:r w:rsidRPr="00DD6FAC">
        <w:rPr>
          <w:rFonts w:ascii="Times New Roman" w:hAnsi="Times New Roman"/>
          <w:sz w:val="24"/>
          <w:szCs w:val="24"/>
        </w:rPr>
        <w:t>Shefrin</w:t>
      </w:r>
      <w:proofErr w:type="spellEnd"/>
      <w:r w:rsidRPr="00DD6FAC">
        <w:rPr>
          <w:rFonts w:ascii="Times New Roman" w:hAnsi="Times New Roman"/>
          <w:sz w:val="24"/>
          <w:szCs w:val="24"/>
        </w:rPr>
        <w:t xml:space="preserve"> 2000, </w:t>
      </w:r>
      <w:proofErr w:type="spellStart"/>
      <w:r w:rsidRPr="00DD6FAC">
        <w:rPr>
          <w:rFonts w:ascii="Times New Roman" w:hAnsi="Times New Roman"/>
          <w:sz w:val="24"/>
          <w:szCs w:val="24"/>
        </w:rPr>
        <w:t>Montier</w:t>
      </w:r>
      <w:proofErr w:type="spellEnd"/>
      <w:r w:rsidRPr="00DD6FAC">
        <w:rPr>
          <w:rFonts w:ascii="Times New Roman" w:hAnsi="Times New Roman"/>
          <w:sz w:val="24"/>
          <w:szCs w:val="24"/>
        </w:rPr>
        <w:t xml:space="preserve">, 2002, </w:t>
      </w:r>
      <w:proofErr w:type="spellStart"/>
      <w:r w:rsidRPr="00DD6FAC">
        <w:rPr>
          <w:rFonts w:ascii="Times New Roman" w:hAnsi="Times New Roman"/>
          <w:sz w:val="24"/>
          <w:szCs w:val="24"/>
        </w:rPr>
        <w:t>Tvede</w:t>
      </w:r>
      <w:proofErr w:type="spellEnd"/>
      <w:r w:rsidRPr="00DD6FAC">
        <w:rPr>
          <w:rFonts w:ascii="Times New Roman" w:hAnsi="Times New Roman"/>
          <w:sz w:val="24"/>
          <w:szCs w:val="24"/>
        </w:rPr>
        <w:t xml:space="preserve">, 2002, </w:t>
      </w:r>
      <w:proofErr w:type="spellStart"/>
      <w:r w:rsidRPr="00DD6FAC">
        <w:rPr>
          <w:rFonts w:ascii="Times New Roman" w:hAnsi="Times New Roman"/>
          <w:sz w:val="24"/>
          <w:szCs w:val="24"/>
        </w:rPr>
        <w:t>Pompian</w:t>
      </w:r>
      <w:proofErr w:type="spellEnd"/>
      <w:r w:rsidRPr="00DD6FAC">
        <w:rPr>
          <w:rFonts w:ascii="Times New Roman" w:hAnsi="Times New Roman"/>
          <w:sz w:val="24"/>
          <w:szCs w:val="24"/>
        </w:rPr>
        <w:t xml:space="preserve"> and Longo, 2004, </w:t>
      </w:r>
      <w:proofErr w:type="spellStart"/>
      <w:r w:rsidRPr="00DD6FAC">
        <w:rPr>
          <w:rFonts w:ascii="Times New Roman" w:hAnsi="Times New Roman"/>
          <w:sz w:val="24"/>
          <w:szCs w:val="24"/>
        </w:rPr>
        <w:t>Pompian</w:t>
      </w:r>
      <w:proofErr w:type="spellEnd"/>
      <w:r w:rsidRPr="00DD6FAC">
        <w:rPr>
          <w:rFonts w:ascii="Times New Roman" w:hAnsi="Times New Roman"/>
          <w:sz w:val="24"/>
          <w:szCs w:val="24"/>
        </w:rPr>
        <w:t xml:space="preserve"> 2006, and Hens and </w:t>
      </w:r>
      <w:proofErr w:type="spellStart"/>
      <w:r w:rsidRPr="00DD6FAC">
        <w:rPr>
          <w:rFonts w:ascii="Times New Roman" w:hAnsi="Times New Roman"/>
          <w:sz w:val="24"/>
          <w:szCs w:val="24"/>
        </w:rPr>
        <w:t>Backmann</w:t>
      </w:r>
      <w:proofErr w:type="spellEnd"/>
      <w:r w:rsidRPr="00DD6FAC">
        <w:rPr>
          <w:rFonts w:ascii="Times New Roman" w:hAnsi="Times New Roman"/>
          <w:sz w:val="24"/>
          <w:szCs w:val="24"/>
        </w:rPr>
        <w:t xml:space="preserve">, 2008.)  For instance, while the majority of wealth is driven by inheritance in Europe, those in the US and Asia has primarily been driven by economic growth, hence, the practice of private banking in Europe, evolving over 5 centuries or so ago can be quite different from </w:t>
      </w:r>
      <w:r w:rsidR="00306D32" w:rsidRPr="00DD6FAC">
        <w:rPr>
          <w:rFonts w:ascii="Times New Roman" w:hAnsi="Times New Roman"/>
          <w:sz w:val="24"/>
          <w:szCs w:val="24"/>
        </w:rPr>
        <w:t>private banking practices</w:t>
      </w:r>
      <w:r w:rsidRPr="00DD6FAC">
        <w:rPr>
          <w:rFonts w:ascii="Times New Roman" w:hAnsi="Times New Roman"/>
          <w:sz w:val="24"/>
          <w:szCs w:val="24"/>
        </w:rPr>
        <w:t xml:space="preserve"> in the US and Asian countries.  In fact, </w:t>
      </w:r>
      <w:r w:rsidR="0042776D" w:rsidRPr="00DD6FAC">
        <w:rPr>
          <w:rFonts w:ascii="Times New Roman" w:hAnsi="Times New Roman"/>
          <w:sz w:val="24"/>
          <w:szCs w:val="24"/>
        </w:rPr>
        <w:t xml:space="preserve">from an investment perspective, </w:t>
      </w:r>
      <w:r w:rsidRPr="00DD6FAC">
        <w:rPr>
          <w:rFonts w:ascii="Times New Roman" w:hAnsi="Times New Roman"/>
          <w:sz w:val="24"/>
          <w:szCs w:val="24"/>
        </w:rPr>
        <w:t xml:space="preserve">private banking clients in Europe, typically known as “old-money” are generally considered to be passive and conservative in nature, while first-generation-rich private banking clients in the US and Asia, typically known as “new-money” are generally considered to be active and aggressive in nature.  As such, client expectations with regard to products and services can be quite different. </w:t>
      </w:r>
    </w:p>
    <w:p w:rsidR="00473BB0" w:rsidRPr="00DD6FAC" w:rsidRDefault="00473BB0" w:rsidP="00DD6FAC">
      <w:pPr>
        <w:spacing w:line="480" w:lineRule="auto"/>
        <w:jc w:val="both"/>
        <w:rPr>
          <w:rFonts w:ascii="Times New Roman" w:hAnsi="Times New Roman"/>
          <w:sz w:val="24"/>
          <w:szCs w:val="24"/>
        </w:rPr>
      </w:pPr>
      <w:r w:rsidRPr="00DD6FAC">
        <w:rPr>
          <w:rFonts w:ascii="Times New Roman" w:hAnsi="Times New Roman"/>
          <w:sz w:val="24"/>
          <w:szCs w:val="24"/>
        </w:rPr>
        <w:t>In sum, while not very well understood and unique, private banking has continued to grow not only with the already significant services offered to HNWI and UHNWI clients in the traditional European priv</w:t>
      </w:r>
      <w:r w:rsidR="0014124A">
        <w:rPr>
          <w:rFonts w:ascii="Times New Roman" w:hAnsi="Times New Roman"/>
          <w:sz w:val="24"/>
          <w:szCs w:val="24"/>
        </w:rPr>
        <w:t>ate banking market (Maude, et a</w:t>
      </w:r>
      <w:r w:rsidRPr="00DD6FAC">
        <w:rPr>
          <w:rFonts w:ascii="Times New Roman" w:hAnsi="Times New Roman"/>
          <w:sz w:val="24"/>
          <w:szCs w:val="24"/>
        </w:rPr>
        <w:t xml:space="preserve">l., 1996,  </w:t>
      </w:r>
      <w:proofErr w:type="spellStart"/>
      <w:r w:rsidRPr="00DD6FAC">
        <w:rPr>
          <w:rFonts w:ascii="Times New Roman" w:hAnsi="Times New Roman"/>
          <w:sz w:val="24"/>
          <w:szCs w:val="24"/>
        </w:rPr>
        <w:t>Molyneux</w:t>
      </w:r>
      <w:proofErr w:type="spellEnd"/>
      <w:r w:rsidRPr="00DD6FAC">
        <w:rPr>
          <w:rFonts w:ascii="Times New Roman" w:hAnsi="Times New Roman"/>
          <w:sz w:val="24"/>
          <w:szCs w:val="24"/>
        </w:rPr>
        <w:t xml:space="preserve"> and  </w:t>
      </w:r>
      <w:proofErr w:type="spellStart"/>
      <w:r w:rsidRPr="00DD6FAC">
        <w:rPr>
          <w:rFonts w:ascii="Times New Roman" w:hAnsi="Times New Roman"/>
          <w:sz w:val="24"/>
          <w:szCs w:val="24"/>
        </w:rPr>
        <w:lastRenderedPageBreak/>
        <w:t>Omarini</w:t>
      </w:r>
      <w:proofErr w:type="spellEnd"/>
      <w:r w:rsidRPr="00DD6FAC">
        <w:rPr>
          <w:rFonts w:ascii="Times New Roman" w:hAnsi="Times New Roman"/>
          <w:sz w:val="24"/>
          <w:szCs w:val="24"/>
        </w:rPr>
        <w:t xml:space="preserve">, 2005, Maude, 2006, Rudolf, 2008, </w:t>
      </w:r>
      <w:r w:rsidRPr="00DD6FAC">
        <w:rPr>
          <w:rStyle w:val="authors"/>
          <w:rFonts w:ascii="Times New Roman" w:hAnsi="Times New Roman"/>
          <w:sz w:val="24"/>
          <w:szCs w:val="24"/>
        </w:rPr>
        <w:t xml:space="preserve">Rudolf and Baedorf, 2011,) but also in the U.S. and Asia.  In the U.S., the </w:t>
      </w:r>
      <w:r w:rsidRPr="00DD6FAC">
        <w:rPr>
          <w:rFonts w:ascii="Times New Roman" w:hAnsi="Times New Roman"/>
          <w:sz w:val="24"/>
          <w:szCs w:val="24"/>
        </w:rPr>
        <w:t>increasing level of private banking activities in the market place has led the Federal Reserve to issue a Supervisory Letter (SR97-19) on the definition and nature of private banking</w:t>
      </w:r>
      <w:r w:rsidR="002324BC">
        <w:rPr>
          <w:rFonts w:ascii="Times New Roman" w:hAnsi="Times New Roman"/>
          <w:sz w:val="24"/>
          <w:szCs w:val="24"/>
        </w:rPr>
        <w:t>.</w:t>
      </w:r>
      <w:r w:rsidRPr="00DD6FAC">
        <w:rPr>
          <w:rFonts w:ascii="Times New Roman" w:hAnsi="Times New Roman"/>
          <w:sz w:val="24"/>
          <w:szCs w:val="24"/>
        </w:rPr>
        <w:t xml:space="preserve"> In the meantime, the practice of private banking has also spread to Asia as documented in Chen (2008,) </w:t>
      </w:r>
      <w:proofErr w:type="spellStart"/>
      <w:r w:rsidRPr="00DD6FAC">
        <w:rPr>
          <w:rFonts w:ascii="Times New Roman" w:hAnsi="Times New Roman"/>
          <w:sz w:val="24"/>
          <w:szCs w:val="24"/>
        </w:rPr>
        <w:t>Gopalakrishnan</w:t>
      </w:r>
      <w:proofErr w:type="spellEnd"/>
      <w:r w:rsidRPr="00DD6FAC">
        <w:rPr>
          <w:rFonts w:ascii="Times New Roman" w:hAnsi="Times New Roman"/>
          <w:sz w:val="24"/>
          <w:szCs w:val="24"/>
        </w:rPr>
        <w:t xml:space="preserve"> (2010,) and Long and Tan (2010) to cater to the new worth generated as a result of the economic growth in the region,</w:t>
      </w:r>
    </w:p>
    <w:p w:rsidR="00E24055" w:rsidRPr="00DD6FAC" w:rsidRDefault="0000193C" w:rsidP="00DD6FAC">
      <w:pPr>
        <w:spacing w:line="480" w:lineRule="auto"/>
        <w:jc w:val="both"/>
        <w:rPr>
          <w:rFonts w:ascii="Times New Roman" w:hAnsi="Times New Roman"/>
          <w:b/>
          <w:i/>
          <w:sz w:val="24"/>
          <w:szCs w:val="24"/>
        </w:rPr>
      </w:pPr>
      <w:r w:rsidRPr="00DD6FAC">
        <w:rPr>
          <w:rFonts w:ascii="Times New Roman" w:hAnsi="Times New Roman"/>
          <w:b/>
          <w:i/>
          <w:sz w:val="24"/>
          <w:szCs w:val="24"/>
        </w:rPr>
        <w:t xml:space="preserve">Traditional </w:t>
      </w:r>
      <w:r w:rsidR="00E24055" w:rsidRPr="00DD6FAC">
        <w:rPr>
          <w:rFonts w:ascii="Times New Roman" w:hAnsi="Times New Roman"/>
          <w:b/>
          <w:i/>
          <w:sz w:val="24"/>
          <w:szCs w:val="24"/>
        </w:rPr>
        <w:t>Segmentation of Private Banking Clients</w:t>
      </w:r>
      <w:r w:rsidR="00D240EC" w:rsidRPr="00DD6FAC">
        <w:rPr>
          <w:rFonts w:ascii="Times New Roman" w:hAnsi="Times New Roman"/>
          <w:b/>
          <w:i/>
          <w:sz w:val="24"/>
          <w:szCs w:val="24"/>
        </w:rPr>
        <w:t xml:space="preserve"> – the “Level-of-Wealth” Approach</w:t>
      </w:r>
    </w:p>
    <w:p w:rsidR="00306D32" w:rsidRPr="00DD6FAC" w:rsidRDefault="00420E4D" w:rsidP="00DD6FAC">
      <w:pPr>
        <w:pStyle w:val="Pa2"/>
        <w:spacing w:after="40" w:line="480" w:lineRule="auto"/>
        <w:jc w:val="both"/>
        <w:rPr>
          <w:rFonts w:ascii="Times New Roman" w:hAnsi="Times New Roman" w:cs="Times New Roman"/>
        </w:rPr>
      </w:pPr>
      <w:r w:rsidRPr="00DD6FAC">
        <w:rPr>
          <w:rFonts w:ascii="Times New Roman" w:hAnsi="Times New Roman" w:cs="Times New Roman"/>
        </w:rPr>
        <w:t xml:space="preserve">To effectively serve the HNWIs, </w:t>
      </w:r>
      <w:r w:rsidR="00306D32" w:rsidRPr="00DD6FAC">
        <w:rPr>
          <w:rFonts w:ascii="Times New Roman" w:hAnsi="Times New Roman" w:cs="Times New Roman"/>
        </w:rPr>
        <w:t xml:space="preserve">retail banks in the private banking space must not try to be all things to all people (Thomas, </w:t>
      </w:r>
      <w:r w:rsidR="009F04A4">
        <w:rPr>
          <w:rFonts w:ascii="Times New Roman" w:hAnsi="Times New Roman" w:cs="Times New Roman"/>
        </w:rPr>
        <w:t>et al.</w:t>
      </w:r>
      <w:r w:rsidR="00306D32" w:rsidRPr="00DD6FAC">
        <w:rPr>
          <w:rFonts w:ascii="Times New Roman" w:hAnsi="Times New Roman" w:cs="Times New Roman"/>
        </w:rPr>
        <w:t xml:space="preserve">, 1976,) </w:t>
      </w:r>
      <w:r w:rsidRPr="00DD6FAC">
        <w:rPr>
          <w:rFonts w:ascii="Times New Roman" w:hAnsi="Times New Roman" w:cs="Times New Roman"/>
        </w:rPr>
        <w:t xml:space="preserve">banks must not only treat the whole </w:t>
      </w:r>
      <w:r w:rsidR="00306D32" w:rsidRPr="00DD6FAC">
        <w:rPr>
          <w:rFonts w:ascii="Times New Roman" w:hAnsi="Times New Roman" w:cs="Times New Roman"/>
        </w:rPr>
        <w:t xml:space="preserve">client </w:t>
      </w:r>
      <w:r w:rsidRPr="00DD6FAC">
        <w:rPr>
          <w:rFonts w:ascii="Times New Roman" w:hAnsi="Times New Roman" w:cs="Times New Roman"/>
        </w:rPr>
        <w:t>group as one segment, but</w:t>
      </w:r>
      <w:r w:rsidR="00306D32" w:rsidRPr="00DD6FAC">
        <w:rPr>
          <w:rFonts w:ascii="Times New Roman" w:hAnsi="Times New Roman" w:cs="Times New Roman"/>
        </w:rPr>
        <w:t xml:space="preserve"> </w:t>
      </w:r>
      <w:r w:rsidRPr="00DD6FAC">
        <w:rPr>
          <w:rFonts w:ascii="Times New Roman" w:hAnsi="Times New Roman" w:cs="Times New Roman"/>
        </w:rPr>
        <w:t>further divide the broad segment, into groups of consumers with distinct needs</w:t>
      </w:r>
      <w:r w:rsidR="00306D32" w:rsidRPr="00DD6FAC">
        <w:rPr>
          <w:rFonts w:ascii="Times New Roman" w:hAnsi="Times New Roman" w:cs="Times New Roman"/>
        </w:rPr>
        <w:t xml:space="preserve">, Kotler and Keller (2006.)  </w:t>
      </w:r>
    </w:p>
    <w:p w:rsidR="00420E4D" w:rsidRPr="00DD6FAC" w:rsidRDefault="00420E4D" w:rsidP="00DD6FAC">
      <w:pPr>
        <w:pStyle w:val="Pa2"/>
        <w:spacing w:after="40" w:line="480" w:lineRule="auto"/>
        <w:jc w:val="both"/>
        <w:rPr>
          <w:rFonts w:ascii="Times New Roman" w:hAnsi="Times New Roman" w:cs="Times New Roman"/>
        </w:rPr>
      </w:pPr>
      <w:r w:rsidRPr="00DD6FAC">
        <w:rPr>
          <w:rFonts w:ascii="Times New Roman" w:hAnsi="Times New Roman" w:cs="Times New Roman"/>
        </w:rPr>
        <w:t>Kotler and Armstrong (2006) suggest segmentation in four levels: segment, niche, local and one-to-one markets, where a company tailors its marketing activities to meet the needs of just one individual customer (</w:t>
      </w:r>
      <w:proofErr w:type="spellStart"/>
      <w:r w:rsidRPr="00DD6FAC">
        <w:rPr>
          <w:rFonts w:ascii="Times New Roman" w:hAnsi="Times New Roman" w:cs="Times New Roman"/>
        </w:rPr>
        <w:t>Mawoli</w:t>
      </w:r>
      <w:proofErr w:type="spellEnd"/>
      <w:r w:rsidRPr="00DD6FAC">
        <w:rPr>
          <w:rFonts w:ascii="Times New Roman" w:hAnsi="Times New Roman" w:cs="Times New Roman"/>
        </w:rPr>
        <w:t>, 2011.)</w:t>
      </w:r>
    </w:p>
    <w:p w:rsidR="00420E4D" w:rsidRPr="00DD6FAC" w:rsidRDefault="00420E4D" w:rsidP="00DD6FAC">
      <w:pPr>
        <w:spacing w:line="480" w:lineRule="auto"/>
        <w:jc w:val="both"/>
        <w:rPr>
          <w:rFonts w:ascii="Times New Roman" w:hAnsi="Times New Roman"/>
          <w:sz w:val="24"/>
          <w:szCs w:val="24"/>
        </w:rPr>
      </w:pPr>
      <w:r w:rsidRPr="00DD6FAC">
        <w:rPr>
          <w:rFonts w:ascii="Times New Roman" w:hAnsi="Times New Roman"/>
          <w:sz w:val="24"/>
          <w:szCs w:val="24"/>
        </w:rPr>
        <w:t xml:space="preserve">In practice, the most </w:t>
      </w:r>
      <w:r w:rsidR="00DA6B28" w:rsidRPr="00DD6FAC">
        <w:rPr>
          <w:rFonts w:ascii="Times New Roman" w:hAnsi="Times New Roman"/>
          <w:sz w:val="24"/>
          <w:szCs w:val="24"/>
        </w:rPr>
        <w:t>commonly used</w:t>
      </w:r>
      <w:r w:rsidRPr="00DD6FAC">
        <w:rPr>
          <w:rFonts w:ascii="Times New Roman" w:hAnsi="Times New Roman"/>
          <w:sz w:val="24"/>
          <w:szCs w:val="24"/>
        </w:rPr>
        <w:t xml:space="preserve"> segmentation by banks of its clients is the “level-of-wealth” approach, where clients are segmented based on their Asset-Under-Management (AUM</w:t>
      </w:r>
      <w:r w:rsidR="00C31D9C">
        <w:rPr>
          <w:rFonts w:ascii="Times New Roman" w:hAnsi="Times New Roman"/>
          <w:sz w:val="24"/>
          <w:szCs w:val="24"/>
        </w:rPr>
        <w:t xml:space="preserve"> hereafter</w:t>
      </w:r>
      <w:r w:rsidRPr="00DD6FAC">
        <w:rPr>
          <w:rFonts w:ascii="Times New Roman" w:hAnsi="Times New Roman"/>
          <w:sz w:val="24"/>
          <w:szCs w:val="24"/>
        </w:rPr>
        <w:t xml:space="preserve">.) </w:t>
      </w:r>
      <w:r w:rsidR="009A5191" w:rsidRPr="00DD6FAC">
        <w:rPr>
          <w:rFonts w:ascii="Times New Roman" w:hAnsi="Times New Roman"/>
          <w:sz w:val="24"/>
          <w:szCs w:val="24"/>
        </w:rPr>
        <w:t xml:space="preserve"> </w:t>
      </w:r>
      <w:r w:rsidR="00363569" w:rsidRPr="00DD6FAC">
        <w:rPr>
          <w:rFonts w:ascii="Times New Roman" w:hAnsi="Times New Roman"/>
          <w:sz w:val="24"/>
          <w:szCs w:val="24"/>
        </w:rPr>
        <w:t xml:space="preserve">A case in point is the segmentation of private banking clients into the high net worth individuals (HNWIs) group and the ultra high net worth individuals (UHNWIs) group.  </w:t>
      </w:r>
      <w:r w:rsidR="002324BC">
        <w:rPr>
          <w:rFonts w:ascii="Times New Roman" w:hAnsi="Times New Roman"/>
          <w:sz w:val="24"/>
          <w:szCs w:val="24"/>
        </w:rPr>
        <w:t>The Cerulli Edge (2010</w:t>
      </w:r>
      <w:r w:rsidR="006D28E5" w:rsidRPr="00DD6FAC">
        <w:rPr>
          <w:rFonts w:ascii="Times New Roman" w:hAnsi="Times New Roman"/>
          <w:sz w:val="24"/>
          <w:szCs w:val="24"/>
        </w:rPr>
        <w:t xml:space="preserve">) reported that 41% </w:t>
      </w:r>
      <w:r w:rsidR="00FE5DFE" w:rsidRPr="00DD6FAC">
        <w:rPr>
          <w:rFonts w:ascii="Times New Roman" w:hAnsi="Times New Roman"/>
          <w:sz w:val="24"/>
          <w:szCs w:val="24"/>
        </w:rPr>
        <w:t>of US practitioners use “Current assets with practice,”  as their main criteria to segment clients, and 30% use “Total financial assets</w:t>
      </w:r>
      <w:r w:rsidR="006D28E5" w:rsidRPr="00DD6FAC">
        <w:rPr>
          <w:rFonts w:ascii="Times New Roman" w:hAnsi="Times New Roman"/>
          <w:sz w:val="24"/>
          <w:szCs w:val="24"/>
        </w:rPr>
        <w:t>,</w:t>
      </w:r>
      <w:r w:rsidR="00FE5DFE" w:rsidRPr="00DD6FAC">
        <w:rPr>
          <w:rFonts w:ascii="Times New Roman" w:hAnsi="Times New Roman"/>
          <w:sz w:val="24"/>
          <w:szCs w:val="24"/>
        </w:rPr>
        <w:t>” as their main criteria</w:t>
      </w:r>
      <w:r w:rsidR="00363569" w:rsidRPr="00DD6FAC">
        <w:rPr>
          <w:rFonts w:ascii="Times New Roman" w:hAnsi="Times New Roman"/>
          <w:sz w:val="24"/>
          <w:szCs w:val="24"/>
        </w:rPr>
        <w:t>, both concept</w:t>
      </w:r>
      <w:r w:rsidR="002324BC">
        <w:rPr>
          <w:rFonts w:ascii="Times New Roman" w:hAnsi="Times New Roman"/>
          <w:sz w:val="24"/>
          <w:szCs w:val="24"/>
        </w:rPr>
        <w:t xml:space="preserve">s are along the line of AUM </w:t>
      </w:r>
      <w:r w:rsidR="002324BC">
        <w:rPr>
          <w:rFonts w:ascii="Times New Roman" w:hAnsi="Times New Roman"/>
          <w:sz w:val="24"/>
          <w:szCs w:val="24"/>
        </w:rPr>
        <w:lastRenderedPageBreak/>
        <w:t xml:space="preserve">as </w:t>
      </w:r>
      <w:r w:rsidR="00363569" w:rsidRPr="00DD6FAC">
        <w:rPr>
          <w:rFonts w:ascii="Times New Roman" w:hAnsi="Times New Roman"/>
          <w:sz w:val="24"/>
          <w:szCs w:val="24"/>
        </w:rPr>
        <w:t xml:space="preserve"> segmentation criteria</w:t>
      </w:r>
      <w:r w:rsidR="00FE5DFE" w:rsidRPr="00DD6FAC">
        <w:rPr>
          <w:rFonts w:ascii="Times New Roman" w:hAnsi="Times New Roman"/>
          <w:sz w:val="24"/>
          <w:szCs w:val="24"/>
        </w:rPr>
        <w:t xml:space="preserve">.  </w:t>
      </w:r>
      <w:r w:rsidR="009A5191" w:rsidRPr="00DD6FAC">
        <w:rPr>
          <w:rFonts w:ascii="Times New Roman" w:hAnsi="Times New Roman"/>
          <w:sz w:val="24"/>
          <w:szCs w:val="24"/>
        </w:rPr>
        <w:t xml:space="preserve">While the specific definition of </w:t>
      </w:r>
      <w:r w:rsidR="00363569" w:rsidRPr="00DD6FAC">
        <w:rPr>
          <w:rFonts w:ascii="Times New Roman" w:hAnsi="Times New Roman"/>
          <w:sz w:val="24"/>
          <w:szCs w:val="24"/>
        </w:rPr>
        <w:t xml:space="preserve">AUM </w:t>
      </w:r>
      <w:r w:rsidR="009A5191" w:rsidRPr="00DD6FAC">
        <w:rPr>
          <w:rFonts w:ascii="Times New Roman" w:hAnsi="Times New Roman"/>
          <w:sz w:val="24"/>
          <w:szCs w:val="24"/>
        </w:rPr>
        <w:t>segment</w:t>
      </w:r>
      <w:r w:rsidR="00D240EC" w:rsidRPr="00DD6FAC">
        <w:rPr>
          <w:rFonts w:ascii="Times New Roman" w:hAnsi="Times New Roman"/>
          <w:sz w:val="24"/>
          <w:szCs w:val="24"/>
        </w:rPr>
        <w:t>s</w:t>
      </w:r>
      <w:r w:rsidR="009A5191" w:rsidRPr="00DD6FAC">
        <w:rPr>
          <w:rFonts w:ascii="Times New Roman" w:hAnsi="Times New Roman"/>
          <w:sz w:val="24"/>
          <w:szCs w:val="24"/>
        </w:rPr>
        <w:t xml:space="preserve"> varies from </w:t>
      </w:r>
      <w:r w:rsidR="00FE5DFE" w:rsidRPr="00DD6FAC">
        <w:rPr>
          <w:rFonts w:ascii="Times New Roman" w:hAnsi="Times New Roman"/>
          <w:sz w:val="24"/>
          <w:szCs w:val="24"/>
        </w:rPr>
        <w:t xml:space="preserve">private </w:t>
      </w:r>
      <w:r w:rsidR="009A5191" w:rsidRPr="00DD6FAC">
        <w:rPr>
          <w:rFonts w:ascii="Times New Roman" w:hAnsi="Times New Roman"/>
          <w:sz w:val="24"/>
          <w:szCs w:val="24"/>
        </w:rPr>
        <w:t xml:space="preserve">bank to </w:t>
      </w:r>
      <w:r w:rsidR="00FE5DFE" w:rsidRPr="00DD6FAC">
        <w:rPr>
          <w:rFonts w:ascii="Times New Roman" w:hAnsi="Times New Roman"/>
          <w:sz w:val="24"/>
          <w:szCs w:val="24"/>
        </w:rPr>
        <w:t xml:space="preserve">private </w:t>
      </w:r>
      <w:r w:rsidR="009A5191" w:rsidRPr="00DD6FAC">
        <w:rPr>
          <w:rFonts w:ascii="Times New Roman" w:hAnsi="Times New Roman"/>
          <w:sz w:val="24"/>
          <w:szCs w:val="24"/>
        </w:rPr>
        <w:t xml:space="preserve">bank, a </w:t>
      </w:r>
      <w:r w:rsidR="00363569" w:rsidRPr="00DD6FAC">
        <w:rPr>
          <w:rFonts w:ascii="Times New Roman" w:hAnsi="Times New Roman"/>
          <w:sz w:val="24"/>
          <w:szCs w:val="24"/>
        </w:rPr>
        <w:t xml:space="preserve">generic </w:t>
      </w:r>
      <w:r w:rsidR="00D240EC" w:rsidRPr="00DD6FAC">
        <w:rPr>
          <w:rFonts w:ascii="Times New Roman" w:hAnsi="Times New Roman"/>
          <w:sz w:val="24"/>
          <w:szCs w:val="24"/>
        </w:rPr>
        <w:t xml:space="preserve">segmentation pyramid is found in </w:t>
      </w:r>
      <w:r w:rsidR="00306D32" w:rsidRPr="00DD6FAC">
        <w:rPr>
          <w:rFonts w:ascii="Times New Roman" w:hAnsi="Times New Roman"/>
          <w:sz w:val="24"/>
          <w:szCs w:val="24"/>
        </w:rPr>
        <w:t xml:space="preserve">figure </w:t>
      </w:r>
      <w:r w:rsidR="00D240EC" w:rsidRPr="00DD6FAC">
        <w:rPr>
          <w:rFonts w:ascii="Times New Roman" w:hAnsi="Times New Roman"/>
          <w:sz w:val="24"/>
          <w:szCs w:val="24"/>
        </w:rPr>
        <w:t>1.</w:t>
      </w:r>
    </w:p>
    <w:p w:rsidR="00D33AF3" w:rsidRDefault="00D240EC" w:rsidP="00DD6FAC">
      <w:pPr>
        <w:spacing w:line="480" w:lineRule="auto"/>
        <w:jc w:val="both"/>
        <w:rPr>
          <w:rFonts w:ascii="Times New Roman" w:hAnsi="Times New Roman"/>
          <w:sz w:val="24"/>
          <w:szCs w:val="24"/>
        </w:rPr>
      </w:pPr>
      <w:r w:rsidRPr="00DD6FAC">
        <w:rPr>
          <w:rFonts w:ascii="Times New Roman" w:hAnsi="Times New Roman"/>
          <w:sz w:val="24"/>
          <w:szCs w:val="24"/>
        </w:rPr>
        <w:t xml:space="preserve">The challenge to </w:t>
      </w:r>
      <w:r w:rsidR="00955CAE" w:rsidRPr="00DD6FAC">
        <w:rPr>
          <w:rFonts w:ascii="Times New Roman" w:hAnsi="Times New Roman"/>
          <w:sz w:val="24"/>
          <w:szCs w:val="24"/>
        </w:rPr>
        <w:t>this</w:t>
      </w:r>
      <w:r w:rsidRPr="00DD6FAC">
        <w:rPr>
          <w:rFonts w:ascii="Times New Roman" w:hAnsi="Times New Roman"/>
          <w:sz w:val="24"/>
          <w:szCs w:val="24"/>
        </w:rPr>
        <w:t xml:space="preserve"> “level-of-wealth” </w:t>
      </w:r>
      <w:r w:rsidR="00363569" w:rsidRPr="00DD6FAC">
        <w:rPr>
          <w:rFonts w:ascii="Times New Roman" w:hAnsi="Times New Roman"/>
          <w:sz w:val="24"/>
          <w:szCs w:val="24"/>
        </w:rPr>
        <w:t xml:space="preserve">approach is that it </w:t>
      </w:r>
      <w:r w:rsidRPr="00DD6FAC">
        <w:rPr>
          <w:rFonts w:ascii="Times New Roman" w:hAnsi="Times New Roman"/>
          <w:sz w:val="24"/>
          <w:szCs w:val="24"/>
        </w:rPr>
        <w:t xml:space="preserve">does not provide much information to private bankers </w:t>
      </w:r>
      <w:r w:rsidR="007A4879" w:rsidRPr="00DD6FAC">
        <w:rPr>
          <w:rFonts w:ascii="Times New Roman" w:hAnsi="Times New Roman"/>
          <w:sz w:val="24"/>
          <w:szCs w:val="24"/>
        </w:rPr>
        <w:t xml:space="preserve">with regard to </w:t>
      </w:r>
      <w:r w:rsidR="00363569" w:rsidRPr="00DD6FAC">
        <w:rPr>
          <w:rFonts w:ascii="Times New Roman" w:hAnsi="Times New Roman"/>
          <w:sz w:val="24"/>
          <w:szCs w:val="24"/>
        </w:rPr>
        <w:t xml:space="preserve">any specific behavioral characteristics </w:t>
      </w:r>
      <w:r w:rsidR="0000193C" w:rsidRPr="00DD6FAC">
        <w:rPr>
          <w:rFonts w:ascii="Times New Roman" w:hAnsi="Times New Roman"/>
          <w:sz w:val="24"/>
          <w:szCs w:val="24"/>
        </w:rPr>
        <w:t xml:space="preserve">by the </w:t>
      </w:r>
      <w:r w:rsidR="00363569" w:rsidRPr="00DD6FAC">
        <w:rPr>
          <w:rFonts w:ascii="Times New Roman" w:hAnsi="Times New Roman"/>
          <w:sz w:val="24"/>
          <w:szCs w:val="24"/>
        </w:rPr>
        <w:t xml:space="preserve">different client types leading to </w:t>
      </w:r>
      <w:r w:rsidR="007A4879" w:rsidRPr="00DD6FAC">
        <w:rPr>
          <w:rFonts w:ascii="Times New Roman" w:hAnsi="Times New Roman"/>
          <w:i/>
          <w:sz w:val="24"/>
          <w:szCs w:val="24"/>
        </w:rPr>
        <w:t>actionable</w:t>
      </w:r>
      <w:r w:rsidR="007A4879" w:rsidRPr="00DD6FAC">
        <w:rPr>
          <w:rFonts w:ascii="Times New Roman" w:hAnsi="Times New Roman"/>
          <w:sz w:val="24"/>
          <w:szCs w:val="24"/>
        </w:rPr>
        <w:t xml:space="preserve"> ideas </w:t>
      </w:r>
      <w:r w:rsidRPr="00DD6FAC">
        <w:rPr>
          <w:rFonts w:ascii="Times New Roman" w:hAnsi="Times New Roman"/>
          <w:sz w:val="24"/>
          <w:szCs w:val="24"/>
        </w:rPr>
        <w:t xml:space="preserve">to help </w:t>
      </w:r>
      <w:r w:rsidR="0000193C" w:rsidRPr="00DD6FAC">
        <w:rPr>
          <w:rFonts w:ascii="Times New Roman" w:hAnsi="Times New Roman"/>
          <w:sz w:val="24"/>
          <w:szCs w:val="24"/>
        </w:rPr>
        <w:t xml:space="preserve">private bankers to </w:t>
      </w:r>
      <w:r w:rsidRPr="00DD6FAC">
        <w:rPr>
          <w:rFonts w:ascii="Times New Roman" w:hAnsi="Times New Roman"/>
          <w:sz w:val="24"/>
          <w:szCs w:val="24"/>
        </w:rPr>
        <w:t>effec</w:t>
      </w:r>
      <w:r w:rsidR="00C93A4A" w:rsidRPr="00DD6FAC">
        <w:rPr>
          <w:rFonts w:ascii="Times New Roman" w:hAnsi="Times New Roman"/>
          <w:sz w:val="24"/>
          <w:szCs w:val="24"/>
        </w:rPr>
        <w:t>tively serve their clients</w:t>
      </w:r>
      <w:r w:rsidR="00D33AF3">
        <w:rPr>
          <w:rFonts w:ascii="Times New Roman" w:hAnsi="Times New Roman"/>
          <w:sz w:val="24"/>
          <w:szCs w:val="24"/>
        </w:rPr>
        <w:t>.  T</w:t>
      </w:r>
      <w:r w:rsidR="007A4879" w:rsidRPr="00DD6FAC">
        <w:rPr>
          <w:rFonts w:ascii="Times New Roman" w:hAnsi="Times New Roman"/>
          <w:sz w:val="24"/>
          <w:szCs w:val="24"/>
        </w:rPr>
        <w:t>he “level-of-wealth” approach does not appear to have</w:t>
      </w:r>
      <w:r w:rsidR="0000193C" w:rsidRPr="00DD6FAC">
        <w:rPr>
          <w:rFonts w:ascii="Times New Roman" w:hAnsi="Times New Roman"/>
          <w:sz w:val="24"/>
          <w:szCs w:val="24"/>
        </w:rPr>
        <w:t xml:space="preserve"> any link to behavioral characteristics</w:t>
      </w:r>
      <w:r w:rsidR="00C93A4A" w:rsidRPr="00DD6FAC">
        <w:rPr>
          <w:rFonts w:ascii="Times New Roman" w:hAnsi="Times New Roman"/>
          <w:sz w:val="24"/>
          <w:szCs w:val="24"/>
        </w:rPr>
        <w:t xml:space="preserve">.  For instance, </w:t>
      </w:r>
      <w:r w:rsidR="007A4879" w:rsidRPr="00DD6FAC">
        <w:rPr>
          <w:rFonts w:ascii="Times New Roman" w:hAnsi="Times New Roman"/>
          <w:sz w:val="24"/>
          <w:szCs w:val="24"/>
        </w:rPr>
        <w:t xml:space="preserve">the approach does not offer insights to </w:t>
      </w:r>
      <w:r w:rsidR="00C93A4A" w:rsidRPr="00DD6FAC">
        <w:rPr>
          <w:rFonts w:ascii="Times New Roman" w:hAnsi="Times New Roman"/>
          <w:sz w:val="24"/>
          <w:szCs w:val="24"/>
        </w:rPr>
        <w:t xml:space="preserve">the </w:t>
      </w:r>
      <w:r w:rsidR="0000193C" w:rsidRPr="00DD6FAC">
        <w:rPr>
          <w:rFonts w:ascii="Times New Roman" w:hAnsi="Times New Roman"/>
          <w:sz w:val="24"/>
          <w:szCs w:val="24"/>
        </w:rPr>
        <w:t xml:space="preserve">investment </w:t>
      </w:r>
      <w:r w:rsidR="00C93A4A" w:rsidRPr="00DD6FAC">
        <w:rPr>
          <w:rFonts w:ascii="Times New Roman" w:hAnsi="Times New Roman"/>
          <w:sz w:val="24"/>
          <w:szCs w:val="24"/>
        </w:rPr>
        <w:t xml:space="preserve">behavioral differences between a UHNWI and a HNWI?  </w:t>
      </w:r>
      <w:r w:rsidR="0000193C" w:rsidRPr="00DD6FAC">
        <w:rPr>
          <w:rFonts w:ascii="Times New Roman" w:hAnsi="Times New Roman"/>
          <w:sz w:val="24"/>
          <w:szCs w:val="24"/>
        </w:rPr>
        <w:t xml:space="preserve">It cannot answer questions as to whether a UHNWI would prefer more or less aggressive investment when compared to a HNWI.  </w:t>
      </w:r>
      <w:r w:rsidR="00C93A4A" w:rsidRPr="00DD6FAC">
        <w:rPr>
          <w:rFonts w:ascii="Times New Roman" w:hAnsi="Times New Roman"/>
          <w:sz w:val="24"/>
          <w:szCs w:val="24"/>
        </w:rPr>
        <w:t>This type of segmentation naturally results ineffective provision of services and reduced customer satisfaction and loyalty.</w:t>
      </w:r>
    </w:p>
    <w:p w:rsidR="00C93A4A" w:rsidRPr="00DD6FAC" w:rsidRDefault="00C93A4A" w:rsidP="00DD6FAC">
      <w:pPr>
        <w:spacing w:line="480" w:lineRule="auto"/>
        <w:jc w:val="both"/>
        <w:rPr>
          <w:rFonts w:ascii="Times New Roman" w:hAnsi="Times New Roman"/>
          <w:b/>
          <w:i/>
          <w:sz w:val="24"/>
          <w:szCs w:val="24"/>
        </w:rPr>
      </w:pPr>
      <w:r w:rsidRPr="00DD6FAC">
        <w:rPr>
          <w:rFonts w:ascii="Times New Roman" w:hAnsi="Times New Roman"/>
          <w:b/>
          <w:i/>
          <w:sz w:val="24"/>
          <w:szCs w:val="24"/>
        </w:rPr>
        <w:t>Alternative Segmentation Systems for Private Banking Clients – the “Source-of-Wealth” Approach</w:t>
      </w:r>
    </w:p>
    <w:p w:rsidR="00955CAE" w:rsidRPr="00DD6FAC" w:rsidRDefault="00444A7C" w:rsidP="00DD6FAC">
      <w:pPr>
        <w:spacing w:line="480" w:lineRule="auto"/>
        <w:jc w:val="both"/>
        <w:rPr>
          <w:rFonts w:ascii="Times New Roman" w:hAnsi="Times New Roman"/>
          <w:sz w:val="24"/>
          <w:szCs w:val="24"/>
        </w:rPr>
      </w:pPr>
      <w:r w:rsidRPr="00DD6FAC">
        <w:rPr>
          <w:rFonts w:ascii="Times New Roman" w:hAnsi="Times New Roman"/>
          <w:sz w:val="24"/>
          <w:szCs w:val="24"/>
        </w:rPr>
        <w:t>An alternative to the “Level-of-Wealth”</w:t>
      </w:r>
      <w:r w:rsidR="00F55B03" w:rsidRPr="00DD6FAC">
        <w:rPr>
          <w:rFonts w:ascii="Times New Roman" w:hAnsi="Times New Roman"/>
          <w:sz w:val="24"/>
          <w:szCs w:val="24"/>
        </w:rPr>
        <w:t xml:space="preserve"> segmentation</w:t>
      </w:r>
      <w:r w:rsidRPr="00DD6FAC">
        <w:rPr>
          <w:rFonts w:ascii="Times New Roman" w:hAnsi="Times New Roman"/>
          <w:sz w:val="24"/>
          <w:szCs w:val="24"/>
        </w:rPr>
        <w:t xml:space="preserve"> approach is the “Source-of-Wealth” approach</w:t>
      </w:r>
      <w:r w:rsidR="00F55B03" w:rsidRPr="00DD6FAC">
        <w:rPr>
          <w:rFonts w:ascii="Times New Roman" w:hAnsi="Times New Roman"/>
          <w:sz w:val="24"/>
          <w:szCs w:val="24"/>
        </w:rPr>
        <w:t xml:space="preserve"> to segment private banking clients</w:t>
      </w:r>
      <w:r w:rsidRPr="00DD6FAC">
        <w:rPr>
          <w:rFonts w:ascii="Times New Roman" w:hAnsi="Times New Roman"/>
          <w:sz w:val="24"/>
          <w:szCs w:val="24"/>
        </w:rPr>
        <w:t xml:space="preserve">.  The “Source-of-Wealth” approach segments private banking clients based on how wealth is achieved.  </w:t>
      </w:r>
      <w:r w:rsidR="00A22211">
        <w:rPr>
          <w:rFonts w:ascii="Times New Roman" w:hAnsi="Times New Roman"/>
          <w:sz w:val="24"/>
          <w:szCs w:val="24"/>
        </w:rPr>
        <w:t>S</w:t>
      </w:r>
      <w:r w:rsidRPr="00DD6FAC">
        <w:rPr>
          <w:rFonts w:ascii="Times New Roman" w:hAnsi="Times New Roman"/>
          <w:sz w:val="24"/>
          <w:szCs w:val="24"/>
        </w:rPr>
        <w:t xml:space="preserve">egmentation based on the “Source-of-Wealth” approach would be the “Old money” – “New money” dichotomy, i.e., </w:t>
      </w:r>
      <w:r w:rsidR="00F55B03" w:rsidRPr="00DD6FAC">
        <w:rPr>
          <w:rFonts w:ascii="Times New Roman" w:hAnsi="Times New Roman"/>
          <w:sz w:val="24"/>
          <w:szCs w:val="24"/>
        </w:rPr>
        <w:t xml:space="preserve">traditional </w:t>
      </w:r>
      <w:r w:rsidRPr="00DD6FAC">
        <w:rPr>
          <w:rFonts w:ascii="Times New Roman" w:hAnsi="Times New Roman"/>
          <w:sz w:val="24"/>
          <w:szCs w:val="24"/>
        </w:rPr>
        <w:t>European inherited wealth versus American created wealth, men</w:t>
      </w:r>
      <w:r w:rsidR="00F55B03" w:rsidRPr="00DD6FAC">
        <w:rPr>
          <w:rFonts w:ascii="Times New Roman" w:hAnsi="Times New Roman"/>
          <w:sz w:val="24"/>
          <w:szCs w:val="24"/>
        </w:rPr>
        <w:t xml:space="preserve">tioned in the above section.  </w:t>
      </w:r>
      <w:r w:rsidR="00D35449" w:rsidRPr="00DD6FAC">
        <w:rPr>
          <w:rFonts w:ascii="Times New Roman" w:hAnsi="Times New Roman"/>
          <w:sz w:val="24"/>
          <w:szCs w:val="24"/>
        </w:rPr>
        <w:t xml:space="preserve">This “old-money” versus “new-money” approach is expected to provide a more effective </w:t>
      </w:r>
      <w:r w:rsidR="003B45D8" w:rsidRPr="00DD6FAC">
        <w:rPr>
          <w:rFonts w:ascii="Times New Roman" w:hAnsi="Times New Roman"/>
          <w:sz w:val="24"/>
          <w:szCs w:val="24"/>
        </w:rPr>
        <w:t xml:space="preserve">way of </w:t>
      </w:r>
      <w:r w:rsidR="00D35449" w:rsidRPr="00DD6FAC">
        <w:rPr>
          <w:rFonts w:ascii="Times New Roman" w:hAnsi="Times New Roman"/>
          <w:sz w:val="24"/>
          <w:szCs w:val="24"/>
        </w:rPr>
        <w:t>segment</w:t>
      </w:r>
      <w:r w:rsidR="003B45D8" w:rsidRPr="00DD6FAC">
        <w:rPr>
          <w:rFonts w:ascii="Times New Roman" w:hAnsi="Times New Roman"/>
          <w:sz w:val="24"/>
          <w:szCs w:val="24"/>
        </w:rPr>
        <w:t xml:space="preserve">ing the market.  </w:t>
      </w:r>
    </w:p>
    <w:p w:rsidR="003B45D8" w:rsidRPr="00DD6FAC" w:rsidRDefault="003B45D8" w:rsidP="00DD6FAC">
      <w:pPr>
        <w:spacing w:line="480" w:lineRule="auto"/>
        <w:jc w:val="both"/>
        <w:rPr>
          <w:rFonts w:ascii="Times New Roman" w:hAnsi="Times New Roman"/>
          <w:sz w:val="24"/>
          <w:szCs w:val="24"/>
        </w:rPr>
      </w:pPr>
      <w:r w:rsidRPr="00DD6FAC">
        <w:rPr>
          <w:rFonts w:ascii="Times New Roman" w:hAnsi="Times New Roman"/>
          <w:sz w:val="24"/>
          <w:szCs w:val="24"/>
        </w:rPr>
        <w:lastRenderedPageBreak/>
        <w:t>Maude (2006) hypothesizes that, when compared to the “new-money” segment, traditional European private banking clients, the “old-money” segment, tend to have behavioral characteristics that include:</w:t>
      </w:r>
    </w:p>
    <w:p w:rsidR="003B45D8" w:rsidRPr="00DD6FAC" w:rsidRDefault="003B45D8" w:rsidP="00DD6FAC">
      <w:pPr>
        <w:numPr>
          <w:ilvl w:val="0"/>
          <w:numId w:val="3"/>
        </w:numPr>
        <w:spacing w:line="480" w:lineRule="auto"/>
        <w:jc w:val="both"/>
        <w:rPr>
          <w:rFonts w:ascii="Times New Roman" w:hAnsi="Times New Roman"/>
          <w:sz w:val="24"/>
          <w:szCs w:val="24"/>
        </w:rPr>
      </w:pPr>
      <w:r w:rsidRPr="00DD6FAC">
        <w:rPr>
          <w:rFonts w:ascii="Times New Roman" w:hAnsi="Times New Roman"/>
          <w:sz w:val="24"/>
          <w:szCs w:val="24"/>
        </w:rPr>
        <w:t xml:space="preserve">Preference towards confidentiality </w:t>
      </w:r>
    </w:p>
    <w:p w:rsidR="003B45D8" w:rsidRPr="00DD6FAC" w:rsidRDefault="003B45D8" w:rsidP="00DD6FAC">
      <w:pPr>
        <w:numPr>
          <w:ilvl w:val="0"/>
          <w:numId w:val="3"/>
        </w:numPr>
        <w:spacing w:line="480" w:lineRule="auto"/>
        <w:jc w:val="both"/>
        <w:rPr>
          <w:rFonts w:ascii="Times New Roman" w:hAnsi="Times New Roman"/>
          <w:sz w:val="24"/>
          <w:szCs w:val="24"/>
        </w:rPr>
      </w:pPr>
      <w:r w:rsidRPr="00DD6FAC">
        <w:rPr>
          <w:rFonts w:ascii="Times New Roman" w:hAnsi="Times New Roman"/>
          <w:sz w:val="24"/>
          <w:szCs w:val="24"/>
        </w:rPr>
        <w:t>Tendency to use discretionary asset management approach that rely on the banker, as oppose to active participation</w:t>
      </w:r>
    </w:p>
    <w:p w:rsidR="003B45D8" w:rsidRPr="00DD6FAC" w:rsidRDefault="003B45D8" w:rsidP="00DD6FAC">
      <w:pPr>
        <w:numPr>
          <w:ilvl w:val="0"/>
          <w:numId w:val="3"/>
        </w:numPr>
        <w:spacing w:line="480" w:lineRule="auto"/>
        <w:jc w:val="both"/>
        <w:rPr>
          <w:rFonts w:ascii="Times New Roman" w:hAnsi="Times New Roman"/>
          <w:sz w:val="24"/>
          <w:szCs w:val="24"/>
        </w:rPr>
      </w:pPr>
      <w:r w:rsidRPr="00DD6FAC">
        <w:rPr>
          <w:rFonts w:ascii="Times New Roman" w:hAnsi="Times New Roman"/>
          <w:sz w:val="24"/>
          <w:szCs w:val="24"/>
        </w:rPr>
        <w:t>Displays a higher degree of risk aversion</w:t>
      </w:r>
    </w:p>
    <w:p w:rsidR="003B45D8" w:rsidRPr="00DD6FAC" w:rsidRDefault="003B45D8" w:rsidP="00DD6FAC">
      <w:pPr>
        <w:numPr>
          <w:ilvl w:val="0"/>
          <w:numId w:val="3"/>
        </w:numPr>
        <w:spacing w:line="480" w:lineRule="auto"/>
        <w:jc w:val="both"/>
        <w:rPr>
          <w:rFonts w:ascii="Times New Roman" w:hAnsi="Times New Roman"/>
          <w:sz w:val="24"/>
          <w:szCs w:val="24"/>
        </w:rPr>
      </w:pPr>
      <w:r w:rsidRPr="00DD6FAC">
        <w:rPr>
          <w:rFonts w:ascii="Times New Roman" w:hAnsi="Times New Roman"/>
          <w:sz w:val="24"/>
          <w:szCs w:val="24"/>
        </w:rPr>
        <w:t xml:space="preserve">A focus on wealth preservation  </w:t>
      </w:r>
    </w:p>
    <w:p w:rsidR="00F55B03" w:rsidRPr="00DD6FAC" w:rsidRDefault="003B45D8" w:rsidP="00DD6FAC">
      <w:pPr>
        <w:spacing w:line="480" w:lineRule="auto"/>
        <w:jc w:val="both"/>
        <w:rPr>
          <w:rFonts w:ascii="Times New Roman" w:hAnsi="Times New Roman"/>
          <w:sz w:val="24"/>
          <w:szCs w:val="24"/>
        </w:rPr>
      </w:pPr>
      <w:r w:rsidRPr="00DD6FAC">
        <w:rPr>
          <w:rFonts w:ascii="Times New Roman" w:hAnsi="Times New Roman"/>
          <w:sz w:val="24"/>
          <w:szCs w:val="24"/>
        </w:rPr>
        <w:t xml:space="preserve">Clearly, these behavioral characteristics provide more informative guideline to the bankers serving these clients.  </w:t>
      </w:r>
    </w:p>
    <w:p w:rsidR="00D35449" w:rsidRPr="00DD6FAC" w:rsidRDefault="00F55B03" w:rsidP="00DD6FAC">
      <w:pPr>
        <w:spacing w:line="480" w:lineRule="auto"/>
        <w:jc w:val="both"/>
        <w:rPr>
          <w:rFonts w:ascii="Times New Roman" w:hAnsi="Times New Roman"/>
          <w:sz w:val="24"/>
          <w:szCs w:val="24"/>
        </w:rPr>
      </w:pPr>
      <w:r w:rsidRPr="00DD6FAC">
        <w:rPr>
          <w:rFonts w:ascii="Times New Roman" w:hAnsi="Times New Roman"/>
          <w:sz w:val="24"/>
          <w:szCs w:val="24"/>
        </w:rPr>
        <w:t xml:space="preserve">This paper shall examine evidence of linkage between </w:t>
      </w:r>
      <w:r w:rsidR="00955CAE" w:rsidRPr="00DD6FAC">
        <w:rPr>
          <w:rFonts w:ascii="Times New Roman" w:hAnsi="Times New Roman"/>
          <w:sz w:val="24"/>
          <w:szCs w:val="24"/>
        </w:rPr>
        <w:t xml:space="preserve">this </w:t>
      </w:r>
      <w:r w:rsidR="003B45D8" w:rsidRPr="00DD6FAC">
        <w:rPr>
          <w:rFonts w:ascii="Times New Roman" w:hAnsi="Times New Roman"/>
          <w:sz w:val="24"/>
          <w:szCs w:val="24"/>
        </w:rPr>
        <w:t xml:space="preserve">“source-of-wealth” </w:t>
      </w:r>
      <w:r w:rsidRPr="00DD6FAC">
        <w:rPr>
          <w:rFonts w:ascii="Times New Roman" w:hAnsi="Times New Roman"/>
          <w:sz w:val="24"/>
          <w:szCs w:val="24"/>
        </w:rPr>
        <w:t xml:space="preserve">segmentation </w:t>
      </w:r>
      <w:r w:rsidR="003B45D8" w:rsidRPr="00DD6FAC">
        <w:rPr>
          <w:rFonts w:ascii="Times New Roman" w:hAnsi="Times New Roman"/>
          <w:sz w:val="24"/>
          <w:szCs w:val="24"/>
        </w:rPr>
        <w:t>approach</w:t>
      </w:r>
      <w:r w:rsidR="00EC4A86" w:rsidRPr="00DD6FAC">
        <w:rPr>
          <w:rFonts w:ascii="Times New Roman" w:hAnsi="Times New Roman"/>
          <w:sz w:val="24"/>
          <w:szCs w:val="24"/>
        </w:rPr>
        <w:t xml:space="preserve"> and client behaviors, hence demonstrating that the “source-of-wealth”</w:t>
      </w:r>
      <w:r w:rsidR="003B45D8" w:rsidRPr="00DD6FAC">
        <w:rPr>
          <w:rFonts w:ascii="Times New Roman" w:hAnsi="Times New Roman"/>
          <w:sz w:val="24"/>
          <w:szCs w:val="24"/>
        </w:rPr>
        <w:t xml:space="preserve"> represents a superior segmentation method </w:t>
      </w:r>
      <w:r w:rsidR="00955CAE" w:rsidRPr="00DD6FAC">
        <w:rPr>
          <w:rFonts w:ascii="Times New Roman" w:hAnsi="Times New Roman"/>
          <w:sz w:val="24"/>
          <w:szCs w:val="24"/>
        </w:rPr>
        <w:t xml:space="preserve">to </w:t>
      </w:r>
      <w:r w:rsidR="003B45D8" w:rsidRPr="00DD6FAC">
        <w:rPr>
          <w:rFonts w:ascii="Times New Roman" w:hAnsi="Times New Roman"/>
          <w:sz w:val="24"/>
          <w:szCs w:val="24"/>
        </w:rPr>
        <w:t xml:space="preserve">the “level-of-wealth” approach.  </w:t>
      </w:r>
    </w:p>
    <w:p w:rsidR="00E24055" w:rsidRPr="00DD6FAC" w:rsidRDefault="00EC4A86" w:rsidP="00DD6FAC">
      <w:pPr>
        <w:spacing w:line="480" w:lineRule="auto"/>
        <w:jc w:val="both"/>
        <w:rPr>
          <w:rFonts w:ascii="Times New Roman" w:hAnsi="Times New Roman"/>
          <w:sz w:val="24"/>
          <w:szCs w:val="24"/>
        </w:rPr>
      </w:pPr>
      <w:r w:rsidRPr="00DD6FAC">
        <w:rPr>
          <w:rFonts w:ascii="Times New Roman" w:hAnsi="Times New Roman"/>
          <w:sz w:val="24"/>
          <w:szCs w:val="24"/>
        </w:rPr>
        <w:t>Along the line of Maude (2006</w:t>
      </w:r>
      <w:r w:rsidR="0023333A" w:rsidRPr="00DD6FAC">
        <w:rPr>
          <w:rFonts w:ascii="Times New Roman" w:hAnsi="Times New Roman"/>
          <w:sz w:val="24"/>
          <w:szCs w:val="24"/>
        </w:rPr>
        <w:t>,</w:t>
      </w:r>
      <w:r w:rsidRPr="00DD6FAC">
        <w:rPr>
          <w:rFonts w:ascii="Times New Roman" w:hAnsi="Times New Roman"/>
          <w:sz w:val="24"/>
          <w:szCs w:val="24"/>
        </w:rPr>
        <w:t>)</w:t>
      </w:r>
      <w:r w:rsidR="00E24055" w:rsidRPr="00DD6FAC">
        <w:rPr>
          <w:rFonts w:ascii="Times New Roman" w:hAnsi="Times New Roman"/>
          <w:sz w:val="24"/>
          <w:szCs w:val="24"/>
        </w:rPr>
        <w:t xml:space="preserve"> a number of </w:t>
      </w:r>
      <w:r w:rsidRPr="00DD6FAC">
        <w:rPr>
          <w:rFonts w:ascii="Times New Roman" w:hAnsi="Times New Roman"/>
          <w:sz w:val="24"/>
          <w:szCs w:val="24"/>
        </w:rPr>
        <w:t xml:space="preserve">practical </w:t>
      </w:r>
      <w:r w:rsidR="00E24055" w:rsidRPr="00DD6FAC">
        <w:rPr>
          <w:rFonts w:ascii="Times New Roman" w:hAnsi="Times New Roman"/>
          <w:sz w:val="24"/>
          <w:szCs w:val="24"/>
        </w:rPr>
        <w:t xml:space="preserve">efforts </w:t>
      </w:r>
      <w:r w:rsidRPr="00DD6FAC">
        <w:rPr>
          <w:rFonts w:ascii="Times New Roman" w:hAnsi="Times New Roman"/>
          <w:sz w:val="24"/>
          <w:szCs w:val="24"/>
        </w:rPr>
        <w:t xml:space="preserve">of </w:t>
      </w:r>
      <w:r w:rsidR="00E24055" w:rsidRPr="00DD6FAC">
        <w:rPr>
          <w:rFonts w:ascii="Times New Roman" w:hAnsi="Times New Roman"/>
          <w:sz w:val="24"/>
          <w:szCs w:val="24"/>
        </w:rPr>
        <w:t>have further segment</w:t>
      </w:r>
      <w:r w:rsidRPr="00DD6FAC">
        <w:rPr>
          <w:rFonts w:ascii="Times New Roman" w:hAnsi="Times New Roman"/>
          <w:sz w:val="24"/>
          <w:szCs w:val="24"/>
        </w:rPr>
        <w:t>ing</w:t>
      </w:r>
      <w:r w:rsidR="00E24055" w:rsidRPr="00DD6FAC">
        <w:rPr>
          <w:rFonts w:ascii="Times New Roman" w:hAnsi="Times New Roman"/>
          <w:sz w:val="24"/>
          <w:szCs w:val="24"/>
        </w:rPr>
        <w:t xml:space="preserve"> the HNWIs </w:t>
      </w:r>
      <w:r w:rsidRPr="00DD6FAC">
        <w:rPr>
          <w:rFonts w:ascii="Times New Roman" w:hAnsi="Times New Roman"/>
          <w:sz w:val="24"/>
          <w:szCs w:val="24"/>
        </w:rPr>
        <w:t>have been in place</w:t>
      </w:r>
      <w:r w:rsidR="00E24055" w:rsidRPr="00DD6FAC">
        <w:rPr>
          <w:rFonts w:ascii="Times New Roman" w:hAnsi="Times New Roman"/>
          <w:sz w:val="24"/>
          <w:szCs w:val="24"/>
        </w:rPr>
        <w:t xml:space="preserve">.  With the many approaches to segment the </w:t>
      </w:r>
      <w:r w:rsidRPr="00DD6FAC">
        <w:rPr>
          <w:rFonts w:ascii="Times New Roman" w:hAnsi="Times New Roman"/>
          <w:sz w:val="24"/>
          <w:szCs w:val="24"/>
        </w:rPr>
        <w:t>private banking clients</w:t>
      </w:r>
      <w:r w:rsidR="009F04A4">
        <w:rPr>
          <w:rFonts w:ascii="Times New Roman" w:hAnsi="Times New Roman"/>
          <w:sz w:val="24"/>
          <w:szCs w:val="24"/>
        </w:rPr>
        <w:t>, this paper will</w:t>
      </w:r>
      <w:r w:rsidR="00E24055" w:rsidRPr="00DD6FAC">
        <w:rPr>
          <w:rFonts w:ascii="Times New Roman" w:hAnsi="Times New Roman"/>
          <w:sz w:val="24"/>
          <w:szCs w:val="24"/>
        </w:rPr>
        <w:t xml:space="preserve"> focus on three </w:t>
      </w:r>
      <w:r w:rsidR="0023333A" w:rsidRPr="00DD6FAC">
        <w:rPr>
          <w:rFonts w:ascii="Times New Roman" w:hAnsi="Times New Roman"/>
          <w:sz w:val="24"/>
          <w:szCs w:val="24"/>
        </w:rPr>
        <w:t>major appr</w:t>
      </w:r>
      <w:r w:rsidRPr="00DD6FAC">
        <w:rPr>
          <w:rFonts w:ascii="Times New Roman" w:hAnsi="Times New Roman"/>
          <w:sz w:val="24"/>
          <w:szCs w:val="24"/>
        </w:rPr>
        <w:t>o</w:t>
      </w:r>
      <w:r w:rsidR="0023333A" w:rsidRPr="00DD6FAC">
        <w:rPr>
          <w:rFonts w:ascii="Times New Roman" w:hAnsi="Times New Roman"/>
          <w:sz w:val="24"/>
          <w:szCs w:val="24"/>
        </w:rPr>
        <w:t>aches</w:t>
      </w:r>
      <w:r w:rsidR="00E24055" w:rsidRPr="00DD6FAC">
        <w:rPr>
          <w:rFonts w:ascii="Times New Roman" w:hAnsi="Times New Roman"/>
          <w:sz w:val="24"/>
          <w:szCs w:val="24"/>
        </w:rPr>
        <w:t>; one by a leading bank</w:t>
      </w:r>
      <w:r w:rsidR="00955CAE" w:rsidRPr="00DD6FAC">
        <w:rPr>
          <w:rFonts w:ascii="Times New Roman" w:hAnsi="Times New Roman"/>
          <w:sz w:val="24"/>
          <w:szCs w:val="24"/>
        </w:rPr>
        <w:t xml:space="preserve"> in Asia</w:t>
      </w:r>
      <w:r w:rsidR="00E24055" w:rsidRPr="00DD6FAC">
        <w:rPr>
          <w:rFonts w:ascii="Times New Roman" w:hAnsi="Times New Roman"/>
          <w:sz w:val="24"/>
          <w:szCs w:val="24"/>
        </w:rPr>
        <w:t>, Nomura</w:t>
      </w:r>
      <w:r w:rsidR="0023333A" w:rsidRPr="00DD6FAC">
        <w:rPr>
          <w:rFonts w:ascii="Times New Roman" w:hAnsi="Times New Roman"/>
          <w:sz w:val="24"/>
          <w:szCs w:val="24"/>
        </w:rPr>
        <w:t xml:space="preserve"> (2006)</w:t>
      </w:r>
      <w:r w:rsidR="00E24055" w:rsidRPr="00DD6FAC">
        <w:rPr>
          <w:rFonts w:ascii="Times New Roman" w:hAnsi="Times New Roman"/>
          <w:sz w:val="24"/>
          <w:szCs w:val="24"/>
        </w:rPr>
        <w:t xml:space="preserve">; another by a leading European bank, Coutts; and </w:t>
      </w:r>
      <w:r w:rsidR="00955CAE" w:rsidRPr="00DD6FAC">
        <w:rPr>
          <w:rFonts w:ascii="Times New Roman" w:hAnsi="Times New Roman"/>
          <w:sz w:val="24"/>
          <w:szCs w:val="24"/>
        </w:rPr>
        <w:t xml:space="preserve">a final </w:t>
      </w:r>
      <w:r w:rsidR="00E24055" w:rsidRPr="00DD6FAC">
        <w:rPr>
          <w:rFonts w:ascii="Times New Roman" w:hAnsi="Times New Roman"/>
          <w:sz w:val="24"/>
          <w:szCs w:val="24"/>
        </w:rPr>
        <w:t xml:space="preserve">one by a leading </w:t>
      </w:r>
      <w:r w:rsidR="00A22211">
        <w:rPr>
          <w:rFonts w:ascii="Times New Roman" w:hAnsi="Times New Roman"/>
          <w:sz w:val="24"/>
          <w:szCs w:val="24"/>
        </w:rPr>
        <w:t xml:space="preserve">US </w:t>
      </w:r>
      <w:r w:rsidR="00E24055" w:rsidRPr="00DD6FAC">
        <w:rPr>
          <w:rFonts w:ascii="Times New Roman" w:hAnsi="Times New Roman"/>
          <w:sz w:val="24"/>
          <w:szCs w:val="24"/>
        </w:rPr>
        <w:t>consulting firm, t</w:t>
      </w:r>
      <w:r w:rsidR="0023333A" w:rsidRPr="00DD6FAC">
        <w:rPr>
          <w:rFonts w:ascii="Times New Roman" w:hAnsi="Times New Roman"/>
          <w:sz w:val="24"/>
          <w:szCs w:val="24"/>
        </w:rPr>
        <w:t>he Boston Consulting Group (BCG, 2002</w:t>
      </w:r>
      <w:r w:rsidR="00E24055" w:rsidRPr="00DD6FAC">
        <w:rPr>
          <w:rFonts w:ascii="Times New Roman" w:hAnsi="Times New Roman"/>
          <w:sz w:val="24"/>
          <w:szCs w:val="24"/>
        </w:rPr>
        <w:t>)</w:t>
      </w:r>
    </w:p>
    <w:p w:rsidR="00E24055" w:rsidRPr="00DD6FAC" w:rsidRDefault="00E24055" w:rsidP="00DD6FAC">
      <w:pPr>
        <w:spacing w:line="480" w:lineRule="auto"/>
        <w:jc w:val="both"/>
        <w:rPr>
          <w:rFonts w:ascii="Times New Roman" w:hAnsi="Times New Roman"/>
          <w:sz w:val="24"/>
          <w:szCs w:val="24"/>
        </w:rPr>
      </w:pPr>
      <w:r w:rsidRPr="00DD6FAC">
        <w:rPr>
          <w:rFonts w:ascii="Times New Roman" w:hAnsi="Times New Roman"/>
          <w:sz w:val="24"/>
          <w:szCs w:val="24"/>
        </w:rPr>
        <w:t xml:space="preserve">Nomura (2006) classified its HNW client base in Japan into three </w:t>
      </w:r>
      <w:r w:rsidR="00C93A4A" w:rsidRPr="00DD6FAC">
        <w:rPr>
          <w:rFonts w:ascii="Times New Roman" w:hAnsi="Times New Roman"/>
          <w:sz w:val="24"/>
          <w:szCs w:val="24"/>
        </w:rPr>
        <w:t>segments</w:t>
      </w:r>
    </w:p>
    <w:p w:rsidR="00E24055" w:rsidRPr="00DD6FAC" w:rsidRDefault="00E24055" w:rsidP="00DD6FAC">
      <w:pPr>
        <w:numPr>
          <w:ilvl w:val="0"/>
          <w:numId w:val="7"/>
        </w:numPr>
        <w:spacing w:line="480" w:lineRule="auto"/>
        <w:jc w:val="both"/>
        <w:rPr>
          <w:rFonts w:ascii="Times New Roman" w:hAnsi="Times New Roman"/>
          <w:sz w:val="24"/>
          <w:szCs w:val="24"/>
        </w:rPr>
      </w:pPr>
      <w:r w:rsidRPr="00DD6FAC">
        <w:rPr>
          <w:rFonts w:ascii="Times New Roman" w:hAnsi="Times New Roman"/>
          <w:sz w:val="24"/>
          <w:szCs w:val="24"/>
        </w:rPr>
        <w:t>Born rich</w:t>
      </w:r>
    </w:p>
    <w:p w:rsidR="00E24055" w:rsidRPr="00DD6FAC" w:rsidRDefault="00E24055" w:rsidP="00DD6FAC">
      <w:pPr>
        <w:numPr>
          <w:ilvl w:val="0"/>
          <w:numId w:val="7"/>
        </w:numPr>
        <w:spacing w:line="480" w:lineRule="auto"/>
        <w:jc w:val="both"/>
        <w:rPr>
          <w:rFonts w:ascii="Times New Roman" w:hAnsi="Times New Roman"/>
          <w:sz w:val="24"/>
          <w:szCs w:val="24"/>
        </w:rPr>
      </w:pPr>
      <w:r w:rsidRPr="00DD6FAC">
        <w:rPr>
          <w:rFonts w:ascii="Times New Roman" w:hAnsi="Times New Roman"/>
          <w:sz w:val="24"/>
          <w:szCs w:val="24"/>
        </w:rPr>
        <w:lastRenderedPageBreak/>
        <w:t xml:space="preserve">Hardworkers </w:t>
      </w:r>
    </w:p>
    <w:p w:rsidR="00E24055" w:rsidRPr="00DD6FAC" w:rsidRDefault="00E24055" w:rsidP="00DD6FAC">
      <w:pPr>
        <w:numPr>
          <w:ilvl w:val="0"/>
          <w:numId w:val="7"/>
        </w:numPr>
        <w:spacing w:line="480" w:lineRule="auto"/>
        <w:jc w:val="both"/>
        <w:rPr>
          <w:rFonts w:ascii="Times New Roman" w:hAnsi="Times New Roman"/>
          <w:sz w:val="24"/>
          <w:szCs w:val="24"/>
        </w:rPr>
      </w:pPr>
      <w:r w:rsidRPr="00DD6FAC">
        <w:rPr>
          <w:rFonts w:ascii="Times New Roman" w:hAnsi="Times New Roman"/>
          <w:sz w:val="24"/>
          <w:szCs w:val="24"/>
        </w:rPr>
        <w:t>Overnight wealth</w:t>
      </w:r>
    </w:p>
    <w:p w:rsidR="00F26AA4" w:rsidRPr="00DD6FAC" w:rsidRDefault="00C93A4A" w:rsidP="00DD6FAC">
      <w:pPr>
        <w:spacing w:line="480" w:lineRule="auto"/>
        <w:jc w:val="both"/>
        <w:rPr>
          <w:rFonts w:ascii="Times New Roman" w:hAnsi="Times New Roman"/>
          <w:sz w:val="24"/>
          <w:szCs w:val="24"/>
        </w:rPr>
      </w:pPr>
      <w:r w:rsidRPr="00DD6FAC">
        <w:rPr>
          <w:rFonts w:ascii="Times New Roman" w:hAnsi="Times New Roman"/>
          <w:sz w:val="24"/>
          <w:szCs w:val="24"/>
        </w:rPr>
        <w:t>According to Nomura, the “born rich” segment mainly acquired its wealth from inheritance</w:t>
      </w:r>
      <w:r w:rsidR="00955CAE" w:rsidRPr="00DD6FAC">
        <w:rPr>
          <w:rFonts w:ascii="Times New Roman" w:hAnsi="Times New Roman"/>
          <w:sz w:val="24"/>
          <w:szCs w:val="24"/>
        </w:rPr>
        <w:t xml:space="preserve">.  With their wealth from previous generation(s), this is equivalent </w:t>
      </w:r>
      <w:r w:rsidR="00D35449" w:rsidRPr="00DD6FAC">
        <w:rPr>
          <w:rFonts w:ascii="Times New Roman" w:hAnsi="Times New Roman"/>
          <w:sz w:val="24"/>
          <w:szCs w:val="24"/>
        </w:rPr>
        <w:t>to the multi-generation “old money” wealth segment</w:t>
      </w:r>
      <w:r w:rsidR="00955CAE" w:rsidRPr="00DD6FAC">
        <w:rPr>
          <w:rFonts w:ascii="Times New Roman" w:hAnsi="Times New Roman"/>
          <w:sz w:val="24"/>
          <w:szCs w:val="24"/>
        </w:rPr>
        <w:t xml:space="preserve"> described above</w:t>
      </w:r>
      <w:r w:rsidR="00D35449" w:rsidRPr="00DD6FAC">
        <w:rPr>
          <w:rFonts w:ascii="Times New Roman" w:hAnsi="Times New Roman"/>
          <w:sz w:val="24"/>
          <w:szCs w:val="24"/>
        </w:rPr>
        <w:t xml:space="preserve">.  </w:t>
      </w:r>
      <w:r w:rsidR="00955CAE" w:rsidRPr="00DD6FAC">
        <w:rPr>
          <w:rFonts w:ascii="Times New Roman" w:hAnsi="Times New Roman"/>
          <w:sz w:val="24"/>
          <w:szCs w:val="24"/>
        </w:rPr>
        <w:t xml:space="preserve">In the Nomura framework, a second segment is the </w:t>
      </w:r>
      <w:r w:rsidR="00D35449" w:rsidRPr="00DD6FAC">
        <w:rPr>
          <w:rFonts w:ascii="Times New Roman" w:hAnsi="Times New Roman"/>
          <w:sz w:val="24"/>
          <w:szCs w:val="24"/>
        </w:rPr>
        <w:t>“</w:t>
      </w:r>
      <w:r w:rsidR="00955CAE" w:rsidRPr="00DD6FAC">
        <w:rPr>
          <w:rFonts w:ascii="Times New Roman" w:hAnsi="Times New Roman"/>
          <w:sz w:val="24"/>
          <w:szCs w:val="24"/>
        </w:rPr>
        <w:t>h</w:t>
      </w:r>
      <w:r w:rsidR="00D35449" w:rsidRPr="00DD6FAC">
        <w:rPr>
          <w:rFonts w:ascii="Times New Roman" w:hAnsi="Times New Roman"/>
          <w:sz w:val="24"/>
          <w:szCs w:val="24"/>
        </w:rPr>
        <w:t>ardworkers</w:t>
      </w:r>
      <w:r w:rsidR="00955CAE" w:rsidRPr="00DD6FAC">
        <w:rPr>
          <w:rFonts w:ascii="Times New Roman" w:hAnsi="Times New Roman"/>
          <w:sz w:val="24"/>
          <w:szCs w:val="24"/>
        </w:rPr>
        <w:t>.</w:t>
      </w:r>
      <w:r w:rsidR="00D35449" w:rsidRPr="00DD6FAC">
        <w:rPr>
          <w:rFonts w:ascii="Times New Roman" w:hAnsi="Times New Roman"/>
          <w:sz w:val="24"/>
          <w:szCs w:val="24"/>
        </w:rPr>
        <w:t>”</w:t>
      </w:r>
      <w:r w:rsidR="00955CAE" w:rsidRPr="00DD6FAC">
        <w:rPr>
          <w:rFonts w:ascii="Times New Roman" w:hAnsi="Times New Roman"/>
          <w:sz w:val="24"/>
          <w:szCs w:val="24"/>
        </w:rPr>
        <w:t xml:space="preserve">  The segment acquires</w:t>
      </w:r>
      <w:r w:rsidR="00D35449" w:rsidRPr="00DD6FAC">
        <w:rPr>
          <w:rFonts w:ascii="Times New Roman" w:hAnsi="Times New Roman"/>
          <w:sz w:val="24"/>
          <w:szCs w:val="24"/>
        </w:rPr>
        <w:t xml:space="preserve"> their </w:t>
      </w:r>
      <w:r w:rsidRPr="00DD6FAC">
        <w:rPr>
          <w:rFonts w:ascii="Times New Roman" w:hAnsi="Times New Roman"/>
          <w:sz w:val="24"/>
          <w:szCs w:val="24"/>
        </w:rPr>
        <w:t xml:space="preserve">wealth </w:t>
      </w:r>
      <w:r w:rsidR="00D35449" w:rsidRPr="00DD6FAC">
        <w:rPr>
          <w:rFonts w:ascii="Times New Roman" w:hAnsi="Times New Roman"/>
          <w:sz w:val="24"/>
          <w:szCs w:val="24"/>
        </w:rPr>
        <w:t xml:space="preserve">through </w:t>
      </w:r>
      <w:r w:rsidRPr="00DD6FAC">
        <w:rPr>
          <w:rFonts w:ascii="Times New Roman" w:hAnsi="Times New Roman"/>
          <w:sz w:val="24"/>
          <w:szCs w:val="24"/>
        </w:rPr>
        <w:t>accumulat</w:t>
      </w:r>
      <w:r w:rsidR="00D35449" w:rsidRPr="00DD6FAC">
        <w:rPr>
          <w:rFonts w:ascii="Times New Roman" w:hAnsi="Times New Roman"/>
          <w:sz w:val="24"/>
          <w:szCs w:val="24"/>
        </w:rPr>
        <w:t xml:space="preserve">ion over the course of their </w:t>
      </w:r>
      <w:r w:rsidRPr="00DD6FAC">
        <w:rPr>
          <w:rFonts w:ascii="Times New Roman" w:hAnsi="Times New Roman"/>
          <w:sz w:val="24"/>
          <w:szCs w:val="24"/>
        </w:rPr>
        <w:t>career</w:t>
      </w:r>
      <w:r w:rsidR="00D35449" w:rsidRPr="00DD6FAC">
        <w:rPr>
          <w:rFonts w:ascii="Times New Roman" w:hAnsi="Times New Roman"/>
          <w:sz w:val="24"/>
          <w:szCs w:val="24"/>
        </w:rPr>
        <w:t>.  The HNWIs from this segment are likely to come from the professional and executives ranks such as medical doctors or lawyers.  Finally, the “</w:t>
      </w:r>
      <w:r w:rsidR="00955CAE" w:rsidRPr="00DD6FAC">
        <w:rPr>
          <w:rFonts w:ascii="Times New Roman" w:hAnsi="Times New Roman"/>
          <w:sz w:val="24"/>
          <w:szCs w:val="24"/>
        </w:rPr>
        <w:t>o</w:t>
      </w:r>
      <w:r w:rsidR="00D35449" w:rsidRPr="00DD6FAC">
        <w:rPr>
          <w:rFonts w:ascii="Times New Roman" w:hAnsi="Times New Roman"/>
          <w:sz w:val="24"/>
          <w:szCs w:val="24"/>
        </w:rPr>
        <w:t xml:space="preserve">vernight wealth” </w:t>
      </w:r>
      <w:r w:rsidR="00955CAE" w:rsidRPr="00DD6FAC">
        <w:rPr>
          <w:rFonts w:ascii="Times New Roman" w:hAnsi="Times New Roman"/>
          <w:sz w:val="24"/>
          <w:szCs w:val="24"/>
        </w:rPr>
        <w:t xml:space="preserve">represents </w:t>
      </w:r>
      <w:r w:rsidR="00D35449" w:rsidRPr="00DD6FAC">
        <w:rPr>
          <w:rFonts w:ascii="Times New Roman" w:hAnsi="Times New Roman"/>
          <w:sz w:val="24"/>
          <w:szCs w:val="24"/>
        </w:rPr>
        <w:t xml:space="preserve">a group that acquired their wealth through </w:t>
      </w:r>
      <w:r w:rsidRPr="00DD6FAC">
        <w:rPr>
          <w:rFonts w:ascii="Times New Roman" w:hAnsi="Times New Roman"/>
          <w:sz w:val="24"/>
          <w:szCs w:val="24"/>
        </w:rPr>
        <w:t>exit</w:t>
      </w:r>
      <w:r w:rsidR="00955CAE" w:rsidRPr="00DD6FAC">
        <w:rPr>
          <w:rFonts w:ascii="Times New Roman" w:hAnsi="Times New Roman"/>
          <w:sz w:val="24"/>
          <w:szCs w:val="24"/>
        </w:rPr>
        <w:t>.  This exit can</w:t>
      </w:r>
      <w:r w:rsidR="00D35449" w:rsidRPr="00DD6FAC">
        <w:rPr>
          <w:rFonts w:ascii="Times New Roman" w:hAnsi="Times New Roman"/>
          <w:sz w:val="24"/>
          <w:szCs w:val="24"/>
        </w:rPr>
        <w:t xml:space="preserve"> either </w:t>
      </w:r>
      <w:r w:rsidR="00955CAE" w:rsidRPr="00DD6FAC">
        <w:rPr>
          <w:rFonts w:ascii="Times New Roman" w:hAnsi="Times New Roman"/>
          <w:sz w:val="24"/>
          <w:szCs w:val="24"/>
        </w:rPr>
        <w:t xml:space="preserve">be the result of </w:t>
      </w:r>
      <w:r w:rsidRPr="00DD6FAC">
        <w:rPr>
          <w:rFonts w:ascii="Times New Roman" w:hAnsi="Times New Roman"/>
          <w:sz w:val="24"/>
          <w:szCs w:val="24"/>
        </w:rPr>
        <w:t>retirement or IPO</w:t>
      </w:r>
      <w:r w:rsidR="00D35449" w:rsidRPr="00DD6FAC">
        <w:rPr>
          <w:rFonts w:ascii="Times New Roman" w:hAnsi="Times New Roman"/>
          <w:sz w:val="24"/>
          <w:szCs w:val="24"/>
        </w:rPr>
        <w:t xml:space="preserve">.  The HNWIs from this segment </w:t>
      </w:r>
      <w:r w:rsidR="00955CAE" w:rsidRPr="00DD6FAC">
        <w:rPr>
          <w:rFonts w:ascii="Times New Roman" w:hAnsi="Times New Roman"/>
          <w:sz w:val="24"/>
          <w:szCs w:val="24"/>
        </w:rPr>
        <w:t xml:space="preserve">parallels </w:t>
      </w:r>
      <w:r w:rsidR="00D35449" w:rsidRPr="00DD6FAC">
        <w:rPr>
          <w:rFonts w:ascii="Times New Roman" w:hAnsi="Times New Roman"/>
          <w:sz w:val="24"/>
          <w:szCs w:val="24"/>
        </w:rPr>
        <w:t>to the first-generation “new money”</w:t>
      </w:r>
      <w:r w:rsidR="00955CAE" w:rsidRPr="00DD6FAC">
        <w:rPr>
          <w:rFonts w:ascii="Times New Roman" w:hAnsi="Times New Roman"/>
          <w:sz w:val="24"/>
          <w:szCs w:val="24"/>
        </w:rPr>
        <w:t xml:space="preserve"> described </w:t>
      </w:r>
      <w:r w:rsidR="00F26AA4" w:rsidRPr="00DD6FAC">
        <w:rPr>
          <w:rFonts w:ascii="Times New Roman" w:hAnsi="Times New Roman"/>
          <w:sz w:val="24"/>
          <w:szCs w:val="24"/>
        </w:rPr>
        <w:t>in the earlier paragraph</w:t>
      </w:r>
      <w:r w:rsidR="00955CAE" w:rsidRPr="00DD6FAC">
        <w:rPr>
          <w:rFonts w:ascii="Times New Roman" w:hAnsi="Times New Roman"/>
          <w:sz w:val="24"/>
          <w:szCs w:val="24"/>
        </w:rPr>
        <w:t xml:space="preserve">.  </w:t>
      </w:r>
    </w:p>
    <w:p w:rsidR="00C93A4A" w:rsidRPr="00DD6FAC" w:rsidRDefault="00D35449" w:rsidP="00DD6FAC">
      <w:pPr>
        <w:spacing w:line="480" w:lineRule="auto"/>
        <w:jc w:val="both"/>
        <w:rPr>
          <w:rFonts w:ascii="Times New Roman" w:hAnsi="Times New Roman"/>
          <w:sz w:val="24"/>
          <w:szCs w:val="24"/>
        </w:rPr>
      </w:pPr>
      <w:r w:rsidRPr="00DD6FAC">
        <w:rPr>
          <w:rFonts w:ascii="Times New Roman" w:hAnsi="Times New Roman"/>
          <w:sz w:val="24"/>
          <w:szCs w:val="24"/>
        </w:rPr>
        <w:t xml:space="preserve">With </w:t>
      </w:r>
      <w:r w:rsidR="00F26AA4" w:rsidRPr="00DD6FAC">
        <w:rPr>
          <w:rFonts w:ascii="Times New Roman" w:hAnsi="Times New Roman"/>
          <w:sz w:val="24"/>
          <w:szCs w:val="24"/>
        </w:rPr>
        <w:t xml:space="preserve">a model dividing the HNWIs into </w:t>
      </w:r>
      <w:r w:rsidRPr="00DD6FAC">
        <w:rPr>
          <w:rFonts w:ascii="Times New Roman" w:hAnsi="Times New Roman"/>
          <w:sz w:val="24"/>
          <w:szCs w:val="24"/>
        </w:rPr>
        <w:t xml:space="preserve">three segments rather than the tradition “old-money” versus “new-money,” segmentation, the Nomura segmentation approach represents a new and enriched </w:t>
      </w:r>
      <w:r w:rsidR="00F26AA4" w:rsidRPr="00DD6FAC">
        <w:rPr>
          <w:rFonts w:ascii="Times New Roman" w:hAnsi="Times New Roman"/>
          <w:sz w:val="24"/>
          <w:szCs w:val="24"/>
        </w:rPr>
        <w:t xml:space="preserve">alternative </w:t>
      </w:r>
      <w:r w:rsidRPr="00DD6FAC">
        <w:rPr>
          <w:rFonts w:ascii="Times New Roman" w:hAnsi="Times New Roman"/>
          <w:sz w:val="24"/>
          <w:szCs w:val="24"/>
        </w:rPr>
        <w:t xml:space="preserve">to private banking client segmentation.  </w:t>
      </w:r>
    </w:p>
    <w:p w:rsidR="00E24055" w:rsidRPr="00DD6FAC" w:rsidRDefault="00E24055" w:rsidP="00DD6FAC">
      <w:pPr>
        <w:spacing w:line="480" w:lineRule="auto"/>
        <w:jc w:val="both"/>
        <w:rPr>
          <w:rFonts w:ascii="Times New Roman" w:hAnsi="Times New Roman"/>
          <w:sz w:val="24"/>
          <w:szCs w:val="24"/>
        </w:rPr>
      </w:pPr>
      <w:r w:rsidRPr="00DD6FAC">
        <w:rPr>
          <w:rFonts w:ascii="Times New Roman" w:hAnsi="Times New Roman"/>
          <w:sz w:val="24"/>
          <w:szCs w:val="24"/>
        </w:rPr>
        <w:t>Coutts</w:t>
      </w:r>
      <w:r w:rsidR="00F26AA4" w:rsidRPr="00DD6FAC">
        <w:rPr>
          <w:rFonts w:ascii="Times New Roman" w:hAnsi="Times New Roman"/>
          <w:sz w:val="24"/>
          <w:szCs w:val="24"/>
        </w:rPr>
        <w:t xml:space="preserve"> is </w:t>
      </w:r>
      <w:r w:rsidRPr="00DD6FAC">
        <w:rPr>
          <w:rFonts w:ascii="Times New Roman" w:hAnsi="Times New Roman"/>
          <w:sz w:val="24"/>
          <w:szCs w:val="24"/>
        </w:rPr>
        <w:t xml:space="preserve">a leading private bank from the UK </w:t>
      </w:r>
      <w:r w:rsidR="009E2B1C" w:rsidRPr="00DD6FAC">
        <w:rPr>
          <w:rFonts w:ascii="Times New Roman" w:hAnsi="Times New Roman"/>
          <w:sz w:val="24"/>
          <w:szCs w:val="24"/>
        </w:rPr>
        <w:t xml:space="preserve">with private banking clients that include </w:t>
      </w:r>
      <w:r w:rsidRPr="00DD6FAC">
        <w:rPr>
          <w:rFonts w:ascii="Times New Roman" w:hAnsi="Times New Roman"/>
          <w:sz w:val="24"/>
          <w:szCs w:val="24"/>
        </w:rPr>
        <w:t>the Royal family for over 300 years</w:t>
      </w:r>
      <w:r w:rsidR="00F26AA4" w:rsidRPr="00DD6FAC">
        <w:rPr>
          <w:rFonts w:ascii="Times New Roman" w:hAnsi="Times New Roman"/>
          <w:sz w:val="24"/>
          <w:szCs w:val="24"/>
        </w:rPr>
        <w:t xml:space="preserve">.  This bank </w:t>
      </w:r>
      <w:r w:rsidRPr="00DD6FAC">
        <w:rPr>
          <w:rFonts w:ascii="Times New Roman" w:hAnsi="Times New Roman"/>
          <w:sz w:val="24"/>
          <w:szCs w:val="24"/>
        </w:rPr>
        <w:t>segmented its clients into seven categories (www.coutts.com/privatebanking/ourclients):</w:t>
      </w:r>
    </w:p>
    <w:p w:rsidR="00E24055" w:rsidRPr="00DD6FAC" w:rsidRDefault="00E24055" w:rsidP="00DD6FAC">
      <w:pPr>
        <w:numPr>
          <w:ilvl w:val="0"/>
          <w:numId w:val="4"/>
        </w:numPr>
        <w:spacing w:line="480" w:lineRule="auto"/>
        <w:jc w:val="both"/>
        <w:rPr>
          <w:rFonts w:ascii="Times New Roman" w:hAnsi="Times New Roman"/>
          <w:sz w:val="24"/>
          <w:szCs w:val="24"/>
        </w:rPr>
      </w:pPr>
      <w:r w:rsidRPr="00DD6FAC">
        <w:rPr>
          <w:rFonts w:ascii="Times New Roman" w:hAnsi="Times New Roman"/>
          <w:sz w:val="24"/>
          <w:szCs w:val="24"/>
        </w:rPr>
        <w:t xml:space="preserve">Entrepreneurs </w:t>
      </w:r>
    </w:p>
    <w:p w:rsidR="00E24055" w:rsidRPr="00DD6FAC" w:rsidRDefault="00E24055" w:rsidP="00DD6FAC">
      <w:pPr>
        <w:numPr>
          <w:ilvl w:val="0"/>
          <w:numId w:val="4"/>
        </w:numPr>
        <w:spacing w:line="480" w:lineRule="auto"/>
        <w:jc w:val="both"/>
        <w:rPr>
          <w:rFonts w:ascii="Times New Roman" w:hAnsi="Times New Roman"/>
          <w:sz w:val="24"/>
          <w:szCs w:val="24"/>
        </w:rPr>
      </w:pPr>
      <w:r w:rsidRPr="00DD6FAC">
        <w:rPr>
          <w:rFonts w:ascii="Times New Roman" w:hAnsi="Times New Roman"/>
          <w:sz w:val="24"/>
          <w:szCs w:val="24"/>
        </w:rPr>
        <w:t xml:space="preserve">Executives </w:t>
      </w:r>
    </w:p>
    <w:p w:rsidR="00E24055" w:rsidRPr="00DD6FAC" w:rsidRDefault="00E24055" w:rsidP="00DD6FAC">
      <w:pPr>
        <w:numPr>
          <w:ilvl w:val="0"/>
          <w:numId w:val="4"/>
        </w:numPr>
        <w:spacing w:line="480" w:lineRule="auto"/>
        <w:jc w:val="both"/>
        <w:rPr>
          <w:rFonts w:ascii="Times New Roman" w:hAnsi="Times New Roman"/>
          <w:sz w:val="24"/>
          <w:szCs w:val="24"/>
        </w:rPr>
      </w:pPr>
      <w:r w:rsidRPr="00DD6FAC">
        <w:rPr>
          <w:rFonts w:ascii="Times New Roman" w:hAnsi="Times New Roman"/>
          <w:sz w:val="24"/>
          <w:szCs w:val="24"/>
        </w:rPr>
        <w:t xml:space="preserve">Land owners </w:t>
      </w:r>
    </w:p>
    <w:p w:rsidR="00E24055" w:rsidRPr="00DD6FAC" w:rsidRDefault="00E24055" w:rsidP="00DD6FAC">
      <w:pPr>
        <w:numPr>
          <w:ilvl w:val="0"/>
          <w:numId w:val="4"/>
        </w:numPr>
        <w:spacing w:line="480" w:lineRule="auto"/>
        <w:jc w:val="both"/>
        <w:rPr>
          <w:rFonts w:ascii="Times New Roman" w:hAnsi="Times New Roman"/>
          <w:sz w:val="24"/>
          <w:szCs w:val="24"/>
        </w:rPr>
      </w:pPr>
      <w:r w:rsidRPr="00DD6FAC">
        <w:rPr>
          <w:rFonts w:ascii="Times New Roman" w:hAnsi="Times New Roman"/>
          <w:sz w:val="24"/>
          <w:szCs w:val="24"/>
        </w:rPr>
        <w:lastRenderedPageBreak/>
        <w:t xml:space="preserve">Sports and Entertainment </w:t>
      </w:r>
    </w:p>
    <w:p w:rsidR="00E24055" w:rsidRPr="00DD6FAC" w:rsidRDefault="00E24055" w:rsidP="00DD6FAC">
      <w:pPr>
        <w:numPr>
          <w:ilvl w:val="0"/>
          <w:numId w:val="4"/>
        </w:numPr>
        <w:spacing w:line="480" w:lineRule="auto"/>
        <w:jc w:val="both"/>
        <w:rPr>
          <w:rFonts w:ascii="Times New Roman" w:hAnsi="Times New Roman"/>
          <w:sz w:val="24"/>
          <w:szCs w:val="24"/>
        </w:rPr>
      </w:pPr>
      <w:r w:rsidRPr="00DD6FAC">
        <w:rPr>
          <w:rFonts w:ascii="Times New Roman" w:hAnsi="Times New Roman"/>
          <w:sz w:val="24"/>
          <w:szCs w:val="24"/>
        </w:rPr>
        <w:t xml:space="preserve">International </w:t>
      </w:r>
    </w:p>
    <w:p w:rsidR="00E24055" w:rsidRPr="00DD6FAC" w:rsidRDefault="00E24055" w:rsidP="00DD6FAC">
      <w:pPr>
        <w:numPr>
          <w:ilvl w:val="0"/>
          <w:numId w:val="4"/>
        </w:numPr>
        <w:spacing w:line="480" w:lineRule="auto"/>
        <w:jc w:val="both"/>
        <w:rPr>
          <w:rFonts w:ascii="Times New Roman" w:hAnsi="Times New Roman"/>
          <w:sz w:val="24"/>
          <w:szCs w:val="24"/>
        </w:rPr>
      </w:pPr>
      <w:r w:rsidRPr="00DD6FAC">
        <w:rPr>
          <w:rFonts w:ascii="Times New Roman" w:hAnsi="Times New Roman"/>
          <w:sz w:val="24"/>
          <w:szCs w:val="24"/>
        </w:rPr>
        <w:t xml:space="preserve">Professionals </w:t>
      </w:r>
    </w:p>
    <w:p w:rsidR="00E24055" w:rsidRPr="00DD6FAC" w:rsidRDefault="00E24055" w:rsidP="00DD6FAC">
      <w:pPr>
        <w:numPr>
          <w:ilvl w:val="0"/>
          <w:numId w:val="4"/>
        </w:numPr>
        <w:spacing w:line="480" w:lineRule="auto"/>
        <w:jc w:val="both"/>
        <w:rPr>
          <w:rFonts w:ascii="Times New Roman" w:hAnsi="Times New Roman"/>
          <w:sz w:val="24"/>
          <w:szCs w:val="24"/>
        </w:rPr>
      </w:pPr>
      <w:r w:rsidRPr="00DD6FAC">
        <w:rPr>
          <w:rFonts w:ascii="Times New Roman" w:hAnsi="Times New Roman"/>
          <w:sz w:val="24"/>
          <w:szCs w:val="24"/>
        </w:rPr>
        <w:t xml:space="preserve">Private Office  </w:t>
      </w:r>
    </w:p>
    <w:p w:rsidR="00112A30" w:rsidRPr="00DD6FAC" w:rsidRDefault="00F26AA4" w:rsidP="00DD6FAC">
      <w:pPr>
        <w:spacing w:line="480" w:lineRule="auto"/>
        <w:jc w:val="both"/>
        <w:rPr>
          <w:rFonts w:ascii="Times New Roman" w:hAnsi="Times New Roman"/>
          <w:sz w:val="24"/>
          <w:szCs w:val="24"/>
        </w:rPr>
      </w:pPr>
      <w:r w:rsidRPr="00DD6FAC">
        <w:rPr>
          <w:rFonts w:ascii="Times New Roman" w:hAnsi="Times New Roman"/>
          <w:sz w:val="24"/>
          <w:szCs w:val="24"/>
        </w:rPr>
        <w:t xml:space="preserve">While Coutts did not offer detailed definition of each of the segment, the segment labels are rather self-explanatory.  The “entrepreneurs” are self-starters and successful business-owners, with the “executives” representing senior officers in organizations.  “Land owners” have their wealth derived from land and the “sports and entertainment” are recognized performers.  </w:t>
      </w:r>
      <w:r w:rsidR="00112A30" w:rsidRPr="00DD6FAC">
        <w:rPr>
          <w:rFonts w:ascii="Times New Roman" w:hAnsi="Times New Roman"/>
          <w:sz w:val="24"/>
          <w:szCs w:val="24"/>
        </w:rPr>
        <w:t xml:space="preserve">The “international” is a group that works overseas, and “professionals” are specialists in their fields.  The only segment that requires explanation is probably the “private office.”  This is typical a professional office that serve not only </w:t>
      </w:r>
      <w:r w:rsidR="00DA6B28" w:rsidRPr="00DD6FAC">
        <w:rPr>
          <w:rFonts w:ascii="Times New Roman" w:hAnsi="Times New Roman"/>
          <w:sz w:val="24"/>
          <w:szCs w:val="24"/>
        </w:rPr>
        <w:t>one</w:t>
      </w:r>
      <w:r w:rsidR="00112A30" w:rsidRPr="00DD6FAC">
        <w:rPr>
          <w:rFonts w:ascii="Times New Roman" w:hAnsi="Times New Roman"/>
          <w:sz w:val="24"/>
          <w:szCs w:val="24"/>
        </w:rPr>
        <w:t xml:space="preserve"> HNWI, but also members related to the HNWI, i.e., family members, each of which may be HNWIs in their own right.  </w:t>
      </w:r>
    </w:p>
    <w:p w:rsidR="00E24055" w:rsidRPr="00DD6FAC" w:rsidRDefault="00E24055" w:rsidP="00DD6FAC">
      <w:pPr>
        <w:spacing w:line="480" w:lineRule="auto"/>
        <w:jc w:val="both"/>
        <w:rPr>
          <w:rFonts w:ascii="Times New Roman" w:hAnsi="Times New Roman"/>
          <w:sz w:val="24"/>
          <w:szCs w:val="24"/>
        </w:rPr>
      </w:pPr>
      <w:r w:rsidRPr="00DD6FAC">
        <w:rPr>
          <w:rFonts w:ascii="Times New Roman" w:hAnsi="Times New Roman"/>
          <w:sz w:val="24"/>
          <w:szCs w:val="24"/>
        </w:rPr>
        <w:t>In the meantime, the Boston Consulting Group</w:t>
      </w:r>
      <w:r w:rsidR="00C93A4A" w:rsidRPr="00DD6FAC">
        <w:rPr>
          <w:rFonts w:ascii="Times New Roman" w:hAnsi="Times New Roman"/>
          <w:sz w:val="24"/>
          <w:szCs w:val="24"/>
        </w:rPr>
        <w:t>,</w:t>
      </w:r>
      <w:r w:rsidRPr="00DD6FAC">
        <w:rPr>
          <w:rFonts w:ascii="Times New Roman" w:hAnsi="Times New Roman"/>
          <w:sz w:val="24"/>
          <w:szCs w:val="24"/>
        </w:rPr>
        <w:t xml:space="preserve"> in its 2002 report, classified over 1,900 private banking clients in China into the following six </w:t>
      </w:r>
      <w:r w:rsidR="00C93A4A" w:rsidRPr="00DD6FAC">
        <w:rPr>
          <w:rFonts w:ascii="Times New Roman" w:hAnsi="Times New Roman"/>
          <w:sz w:val="24"/>
          <w:szCs w:val="24"/>
        </w:rPr>
        <w:t>market segments</w:t>
      </w:r>
      <w:r w:rsidRPr="00DD6FAC">
        <w:rPr>
          <w:rFonts w:ascii="Times New Roman" w:hAnsi="Times New Roman"/>
          <w:sz w:val="24"/>
          <w:szCs w:val="24"/>
        </w:rPr>
        <w:t>,</w:t>
      </w:r>
    </w:p>
    <w:p w:rsidR="00E24055" w:rsidRPr="00DD6FAC" w:rsidRDefault="00E24055" w:rsidP="00DD6FAC">
      <w:pPr>
        <w:numPr>
          <w:ilvl w:val="0"/>
          <w:numId w:val="5"/>
        </w:numPr>
        <w:spacing w:before="100" w:beforeAutospacing="1" w:after="100" w:afterAutospacing="1" w:line="480" w:lineRule="auto"/>
        <w:jc w:val="both"/>
        <w:rPr>
          <w:rFonts w:ascii="Times New Roman" w:eastAsia="Times New Roman" w:hAnsi="Times New Roman"/>
          <w:sz w:val="24"/>
          <w:szCs w:val="24"/>
        </w:rPr>
      </w:pPr>
      <w:r w:rsidRPr="00DD6FAC">
        <w:rPr>
          <w:rFonts w:ascii="Times New Roman" w:eastAsia="Times New Roman" w:hAnsi="Times New Roman"/>
          <w:sz w:val="24"/>
          <w:szCs w:val="24"/>
        </w:rPr>
        <w:t xml:space="preserve">Entrepreneurs </w:t>
      </w:r>
    </w:p>
    <w:p w:rsidR="00E24055" w:rsidRPr="00DD6FAC" w:rsidRDefault="00E24055" w:rsidP="00DD6FAC">
      <w:pPr>
        <w:numPr>
          <w:ilvl w:val="0"/>
          <w:numId w:val="5"/>
        </w:numPr>
        <w:spacing w:before="100" w:beforeAutospacing="1" w:after="100" w:afterAutospacing="1" w:line="480" w:lineRule="auto"/>
        <w:jc w:val="both"/>
        <w:rPr>
          <w:rFonts w:ascii="Times New Roman" w:eastAsia="Times New Roman" w:hAnsi="Times New Roman"/>
          <w:sz w:val="24"/>
          <w:szCs w:val="24"/>
        </w:rPr>
      </w:pPr>
      <w:r w:rsidRPr="00DD6FAC">
        <w:rPr>
          <w:rFonts w:ascii="Times New Roman" w:eastAsia="Times New Roman" w:hAnsi="Times New Roman"/>
          <w:sz w:val="24"/>
          <w:szCs w:val="24"/>
        </w:rPr>
        <w:t xml:space="preserve">Professional managers, </w:t>
      </w:r>
    </w:p>
    <w:p w:rsidR="00E24055" w:rsidRPr="00DD6FAC" w:rsidRDefault="00E24055" w:rsidP="00DD6FAC">
      <w:pPr>
        <w:numPr>
          <w:ilvl w:val="0"/>
          <w:numId w:val="5"/>
        </w:numPr>
        <w:spacing w:before="100" w:beforeAutospacing="1" w:after="100" w:afterAutospacing="1" w:line="480" w:lineRule="auto"/>
        <w:jc w:val="both"/>
        <w:rPr>
          <w:rFonts w:ascii="Times New Roman" w:eastAsia="Times New Roman" w:hAnsi="Times New Roman"/>
          <w:sz w:val="24"/>
          <w:szCs w:val="24"/>
        </w:rPr>
      </w:pPr>
      <w:r w:rsidRPr="00DD6FAC">
        <w:rPr>
          <w:rFonts w:ascii="Times New Roman" w:eastAsia="Times New Roman" w:hAnsi="Times New Roman"/>
          <w:sz w:val="24"/>
          <w:szCs w:val="24"/>
        </w:rPr>
        <w:t xml:space="preserve">Housewives and </w:t>
      </w:r>
    </w:p>
    <w:p w:rsidR="00E24055" w:rsidRPr="00DD6FAC" w:rsidRDefault="00E24055" w:rsidP="00DD6FAC">
      <w:pPr>
        <w:numPr>
          <w:ilvl w:val="0"/>
          <w:numId w:val="5"/>
        </w:numPr>
        <w:spacing w:before="100" w:beforeAutospacing="1" w:after="100" w:afterAutospacing="1" w:line="480" w:lineRule="auto"/>
        <w:jc w:val="both"/>
        <w:rPr>
          <w:rFonts w:ascii="Times New Roman" w:eastAsia="Times New Roman" w:hAnsi="Times New Roman"/>
          <w:sz w:val="24"/>
          <w:szCs w:val="24"/>
        </w:rPr>
      </w:pPr>
      <w:r w:rsidRPr="00DD6FAC">
        <w:rPr>
          <w:rFonts w:ascii="Times New Roman" w:eastAsia="Times New Roman" w:hAnsi="Times New Roman"/>
          <w:sz w:val="24"/>
          <w:szCs w:val="24"/>
        </w:rPr>
        <w:t xml:space="preserve">Other professionals and </w:t>
      </w:r>
    </w:p>
    <w:p w:rsidR="00E24055" w:rsidRPr="00DD6FAC" w:rsidRDefault="00E24055" w:rsidP="00DD6FAC">
      <w:pPr>
        <w:numPr>
          <w:ilvl w:val="0"/>
          <w:numId w:val="5"/>
        </w:numPr>
        <w:spacing w:before="100" w:beforeAutospacing="1" w:after="100" w:afterAutospacing="1" w:line="480" w:lineRule="auto"/>
        <w:jc w:val="both"/>
        <w:rPr>
          <w:rFonts w:ascii="Times New Roman" w:eastAsia="Times New Roman" w:hAnsi="Times New Roman"/>
          <w:sz w:val="24"/>
          <w:szCs w:val="24"/>
        </w:rPr>
      </w:pPr>
      <w:r w:rsidRPr="00DD6FAC">
        <w:rPr>
          <w:rFonts w:ascii="Times New Roman" w:eastAsia="Times New Roman" w:hAnsi="Times New Roman"/>
          <w:sz w:val="24"/>
          <w:szCs w:val="24"/>
        </w:rPr>
        <w:t xml:space="preserve">Investment professionals </w:t>
      </w:r>
    </w:p>
    <w:p w:rsidR="00E24055" w:rsidRPr="00DD6FAC" w:rsidRDefault="00E24055" w:rsidP="00DD6FAC">
      <w:pPr>
        <w:numPr>
          <w:ilvl w:val="0"/>
          <w:numId w:val="5"/>
        </w:numPr>
        <w:spacing w:before="100" w:beforeAutospacing="1" w:after="100" w:afterAutospacing="1" w:line="480" w:lineRule="auto"/>
        <w:jc w:val="both"/>
        <w:rPr>
          <w:rFonts w:ascii="Times New Roman" w:eastAsia="Times New Roman" w:hAnsi="Times New Roman"/>
          <w:sz w:val="24"/>
          <w:szCs w:val="24"/>
        </w:rPr>
      </w:pPr>
      <w:r w:rsidRPr="00DD6FAC">
        <w:rPr>
          <w:rFonts w:ascii="Times New Roman" w:eastAsia="Times New Roman" w:hAnsi="Times New Roman"/>
          <w:sz w:val="24"/>
          <w:szCs w:val="24"/>
        </w:rPr>
        <w:t>Others.</w:t>
      </w:r>
    </w:p>
    <w:p w:rsidR="00656E1E" w:rsidRPr="00DD6FAC" w:rsidRDefault="00112A30" w:rsidP="00DD6FAC">
      <w:pPr>
        <w:spacing w:before="100" w:beforeAutospacing="1" w:after="100" w:afterAutospacing="1" w:line="480" w:lineRule="auto"/>
        <w:jc w:val="both"/>
        <w:rPr>
          <w:rFonts w:ascii="Times New Roman" w:eastAsia="Times New Roman" w:hAnsi="Times New Roman"/>
          <w:sz w:val="24"/>
          <w:szCs w:val="24"/>
        </w:rPr>
      </w:pPr>
      <w:r w:rsidRPr="00DD6FAC">
        <w:rPr>
          <w:rFonts w:ascii="Times New Roman" w:eastAsia="Times New Roman" w:hAnsi="Times New Roman"/>
          <w:sz w:val="24"/>
          <w:szCs w:val="24"/>
        </w:rPr>
        <w:lastRenderedPageBreak/>
        <w:t>Like the Coutts classification, this system by the Boston Consulting Group also includes “entrepreneurs.”  The Boston Consulting Group approach, however, further segment</w:t>
      </w:r>
      <w:r w:rsidR="000D3C5A" w:rsidRPr="00DD6FAC">
        <w:rPr>
          <w:rFonts w:ascii="Times New Roman" w:eastAsia="Times New Roman" w:hAnsi="Times New Roman"/>
          <w:sz w:val="24"/>
          <w:szCs w:val="24"/>
        </w:rPr>
        <w:t>s</w:t>
      </w:r>
      <w:r w:rsidRPr="00DD6FAC">
        <w:rPr>
          <w:rFonts w:ascii="Times New Roman" w:eastAsia="Times New Roman" w:hAnsi="Times New Roman"/>
          <w:sz w:val="24"/>
          <w:szCs w:val="24"/>
        </w:rPr>
        <w:t xml:space="preserve"> “professionals” into “professional managers,” “other professionals” and “investment professionals.”  In </w:t>
      </w:r>
      <w:r w:rsidR="00656E1E" w:rsidRPr="00DD6FAC">
        <w:rPr>
          <w:rFonts w:ascii="Times New Roman" w:eastAsia="Times New Roman" w:hAnsi="Times New Roman"/>
          <w:sz w:val="24"/>
          <w:szCs w:val="24"/>
        </w:rPr>
        <w:t>the Boston Consulting Group system, they also have “housewives” and a catch all “others.”</w:t>
      </w:r>
    </w:p>
    <w:p w:rsidR="00DA045F" w:rsidRPr="00DD6FAC" w:rsidRDefault="00E24055" w:rsidP="00DD6FAC">
      <w:pPr>
        <w:spacing w:before="100" w:beforeAutospacing="1" w:after="100" w:afterAutospacing="1" w:line="480" w:lineRule="auto"/>
        <w:jc w:val="both"/>
        <w:rPr>
          <w:rFonts w:ascii="Times New Roman" w:eastAsia="Times New Roman" w:hAnsi="Times New Roman"/>
          <w:sz w:val="24"/>
          <w:szCs w:val="24"/>
        </w:rPr>
      </w:pPr>
      <w:r w:rsidRPr="00DD6FAC">
        <w:rPr>
          <w:rFonts w:ascii="Times New Roman" w:eastAsia="Times New Roman" w:hAnsi="Times New Roman"/>
          <w:sz w:val="24"/>
          <w:szCs w:val="24"/>
        </w:rPr>
        <w:t>As can be seen, the</w:t>
      </w:r>
      <w:r w:rsidR="000D3C5A" w:rsidRPr="00DD6FAC">
        <w:rPr>
          <w:rFonts w:ascii="Times New Roman" w:eastAsia="Times New Roman" w:hAnsi="Times New Roman"/>
          <w:sz w:val="24"/>
          <w:szCs w:val="24"/>
        </w:rPr>
        <w:t xml:space="preserve">re </w:t>
      </w:r>
      <w:r w:rsidR="00DA6B28" w:rsidRPr="00DD6FAC">
        <w:rPr>
          <w:rFonts w:ascii="Times New Roman" w:eastAsia="Times New Roman" w:hAnsi="Times New Roman"/>
          <w:sz w:val="24"/>
          <w:szCs w:val="24"/>
        </w:rPr>
        <w:t>exist</w:t>
      </w:r>
      <w:r w:rsidR="000D3C5A" w:rsidRPr="00DD6FAC">
        <w:rPr>
          <w:rFonts w:ascii="Times New Roman" w:eastAsia="Times New Roman" w:hAnsi="Times New Roman"/>
          <w:sz w:val="24"/>
          <w:szCs w:val="24"/>
        </w:rPr>
        <w:t xml:space="preserve"> a</w:t>
      </w:r>
      <w:r w:rsidRPr="00DD6FAC">
        <w:rPr>
          <w:rFonts w:ascii="Times New Roman" w:eastAsia="Times New Roman" w:hAnsi="Times New Roman"/>
          <w:sz w:val="24"/>
          <w:szCs w:val="24"/>
        </w:rPr>
        <w:t xml:space="preserve"> </w:t>
      </w:r>
      <w:r w:rsidR="000D3C5A" w:rsidRPr="00DD6FAC">
        <w:rPr>
          <w:rFonts w:ascii="Times New Roman" w:eastAsia="Times New Roman" w:hAnsi="Times New Roman"/>
          <w:sz w:val="24"/>
          <w:szCs w:val="24"/>
        </w:rPr>
        <w:t xml:space="preserve">number of attempts in segmenting </w:t>
      </w:r>
      <w:r w:rsidRPr="00DD6FAC">
        <w:rPr>
          <w:rFonts w:ascii="Times New Roman" w:eastAsia="Times New Roman" w:hAnsi="Times New Roman"/>
          <w:sz w:val="24"/>
          <w:szCs w:val="24"/>
        </w:rPr>
        <w:t>private banking clients</w:t>
      </w:r>
      <w:r w:rsidR="000D3C5A" w:rsidRPr="00DD6FAC">
        <w:rPr>
          <w:rFonts w:ascii="Times New Roman" w:eastAsia="Times New Roman" w:hAnsi="Times New Roman"/>
          <w:sz w:val="24"/>
          <w:szCs w:val="24"/>
        </w:rPr>
        <w:t xml:space="preserve">, and it appears that </w:t>
      </w:r>
      <w:r w:rsidR="009E2B1C" w:rsidRPr="00DD6FAC">
        <w:rPr>
          <w:rFonts w:ascii="Times New Roman" w:eastAsia="Times New Roman" w:hAnsi="Times New Roman"/>
          <w:sz w:val="24"/>
          <w:szCs w:val="24"/>
        </w:rPr>
        <w:t xml:space="preserve">each of </w:t>
      </w:r>
      <w:r w:rsidR="000D3C5A" w:rsidRPr="00DD6FAC">
        <w:rPr>
          <w:rFonts w:ascii="Times New Roman" w:eastAsia="Times New Roman" w:hAnsi="Times New Roman"/>
          <w:sz w:val="24"/>
          <w:szCs w:val="24"/>
        </w:rPr>
        <w:t xml:space="preserve">the individual attempt represent </w:t>
      </w:r>
      <w:r w:rsidR="00DA6B28" w:rsidRPr="00DD6FAC">
        <w:rPr>
          <w:rFonts w:ascii="Times New Roman" w:eastAsia="Times New Roman" w:hAnsi="Times New Roman"/>
          <w:sz w:val="24"/>
          <w:szCs w:val="24"/>
        </w:rPr>
        <w:t xml:space="preserve">inconsistent </w:t>
      </w:r>
      <w:r w:rsidR="000D3C5A" w:rsidRPr="00DD6FAC">
        <w:rPr>
          <w:rFonts w:ascii="Times New Roman" w:eastAsia="Times New Roman" w:hAnsi="Times New Roman"/>
          <w:sz w:val="24"/>
          <w:szCs w:val="24"/>
        </w:rPr>
        <w:t>efforts in private banking client segmentation</w:t>
      </w:r>
      <w:r w:rsidR="009E2B1C" w:rsidRPr="00DD6FAC">
        <w:rPr>
          <w:rFonts w:ascii="Times New Roman" w:eastAsia="Times New Roman" w:hAnsi="Times New Roman"/>
          <w:sz w:val="24"/>
          <w:szCs w:val="24"/>
        </w:rPr>
        <w:t>,</w:t>
      </w:r>
      <w:r w:rsidR="000D3C5A" w:rsidRPr="00DD6FAC">
        <w:rPr>
          <w:rFonts w:ascii="Times New Roman" w:eastAsia="Times New Roman" w:hAnsi="Times New Roman"/>
          <w:sz w:val="24"/>
          <w:szCs w:val="24"/>
        </w:rPr>
        <w:t xml:space="preserve"> and </w:t>
      </w:r>
      <w:r w:rsidR="009E2B1C" w:rsidRPr="00DD6FAC">
        <w:rPr>
          <w:rFonts w:ascii="Times New Roman" w:eastAsia="Times New Roman" w:hAnsi="Times New Roman"/>
          <w:sz w:val="24"/>
          <w:szCs w:val="24"/>
        </w:rPr>
        <w:t xml:space="preserve">there exists no consensus towards an </w:t>
      </w:r>
      <w:r w:rsidR="000D3C5A" w:rsidRPr="00DD6FAC">
        <w:rPr>
          <w:rFonts w:ascii="Times New Roman" w:eastAsia="Times New Roman" w:hAnsi="Times New Roman"/>
          <w:sz w:val="24"/>
          <w:szCs w:val="24"/>
        </w:rPr>
        <w:t xml:space="preserve">effective </w:t>
      </w:r>
      <w:r w:rsidR="00C93A4A" w:rsidRPr="00DD6FAC">
        <w:rPr>
          <w:rFonts w:ascii="Times New Roman" w:eastAsia="Times New Roman" w:hAnsi="Times New Roman"/>
          <w:sz w:val="24"/>
          <w:szCs w:val="24"/>
        </w:rPr>
        <w:t xml:space="preserve">segmentation </w:t>
      </w:r>
      <w:r w:rsidRPr="00DD6FAC">
        <w:rPr>
          <w:rFonts w:ascii="Times New Roman" w:eastAsia="Times New Roman" w:hAnsi="Times New Roman"/>
          <w:sz w:val="24"/>
          <w:szCs w:val="24"/>
        </w:rPr>
        <w:t xml:space="preserve">framework.  </w:t>
      </w:r>
    </w:p>
    <w:p w:rsidR="00E24055" w:rsidRPr="00DD6FAC" w:rsidRDefault="00E24055" w:rsidP="00DD6FAC">
      <w:pPr>
        <w:pStyle w:val="Heading2"/>
        <w:spacing w:line="480" w:lineRule="auto"/>
        <w:jc w:val="both"/>
        <w:rPr>
          <w:rFonts w:ascii="Times New Roman" w:hAnsi="Times New Roman" w:cs="Times New Roman"/>
          <w:sz w:val="24"/>
          <w:szCs w:val="24"/>
        </w:rPr>
      </w:pPr>
      <w:r w:rsidRPr="00DD6FAC">
        <w:rPr>
          <w:rFonts w:ascii="Times New Roman" w:hAnsi="Times New Roman" w:cs="Times New Roman"/>
          <w:sz w:val="24"/>
          <w:szCs w:val="24"/>
        </w:rPr>
        <w:t xml:space="preserve">A Unified </w:t>
      </w:r>
      <w:r w:rsidR="00E51F90" w:rsidRPr="00DD6FAC">
        <w:rPr>
          <w:rFonts w:ascii="Times New Roman" w:hAnsi="Times New Roman" w:cs="Times New Roman"/>
          <w:sz w:val="24"/>
          <w:szCs w:val="24"/>
        </w:rPr>
        <w:t xml:space="preserve">“Source-of-Wealth” Segmentation </w:t>
      </w:r>
      <w:r w:rsidRPr="00DD6FAC">
        <w:rPr>
          <w:rFonts w:ascii="Times New Roman" w:hAnsi="Times New Roman" w:cs="Times New Roman"/>
          <w:sz w:val="24"/>
          <w:szCs w:val="24"/>
        </w:rPr>
        <w:t>System</w:t>
      </w:r>
      <w:r w:rsidR="00E75BFA" w:rsidRPr="00DD6FAC">
        <w:rPr>
          <w:rFonts w:ascii="Times New Roman" w:hAnsi="Times New Roman" w:cs="Times New Roman"/>
          <w:sz w:val="24"/>
          <w:szCs w:val="24"/>
        </w:rPr>
        <w:t xml:space="preserve"> for Private Banking Clients</w:t>
      </w:r>
      <w:r w:rsidRPr="00DD6FAC">
        <w:rPr>
          <w:rFonts w:ascii="Times New Roman" w:hAnsi="Times New Roman" w:cs="Times New Roman"/>
          <w:sz w:val="24"/>
          <w:szCs w:val="24"/>
        </w:rPr>
        <w:t xml:space="preserve"> – the </w:t>
      </w:r>
      <w:r w:rsidR="0005063B" w:rsidRPr="00DD6FAC">
        <w:rPr>
          <w:rFonts w:ascii="Times New Roman" w:hAnsi="Times New Roman" w:cs="Times New Roman"/>
          <w:sz w:val="24"/>
          <w:szCs w:val="24"/>
        </w:rPr>
        <w:t>4Es Model</w:t>
      </w:r>
    </w:p>
    <w:p w:rsidR="0005063B" w:rsidRPr="00DD6FAC" w:rsidRDefault="0005063B" w:rsidP="00DD6FAC">
      <w:pPr>
        <w:spacing w:before="100" w:beforeAutospacing="1" w:after="100" w:afterAutospacing="1" w:line="480" w:lineRule="auto"/>
        <w:jc w:val="both"/>
        <w:rPr>
          <w:rFonts w:ascii="Times New Roman" w:eastAsia="Times New Roman" w:hAnsi="Times New Roman"/>
          <w:sz w:val="24"/>
          <w:szCs w:val="24"/>
        </w:rPr>
      </w:pPr>
      <w:r w:rsidRPr="00DD6FAC">
        <w:rPr>
          <w:rFonts w:ascii="Times New Roman" w:eastAsia="Times New Roman" w:hAnsi="Times New Roman"/>
          <w:sz w:val="24"/>
          <w:szCs w:val="24"/>
        </w:rPr>
        <w:t xml:space="preserve">Chung </w:t>
      </w:r>
      <w:r w:rsidR="009F04A4">
        <w:rPr>
          <w:rFonts w:ascii="Times New Roman" w:eastAsia="Times New Roman" w:hAnsi="Times New Roman"/>
          <w:sz w:val="24"/>
          <w:szCs w:val="24"/>
        </w:rPr>
        <w:t>et al.</w:t>
      </w:r>
      <w:r w:rsidRPr="00DD6FAC">
        <w:rPr>
          <w:rFonts w:ascii="Times New Roman" w:eastAsia="Times New Roman" w:hAnsi="Times New Roman"/>
          <w:sz w:val="24"/>
          <w:szCs w:val="24"/>
        </w:rPr>
        <w:t xml:space="preserve"> (2014) synthesized the classification attempts above by Nomura, Coutts and Boston Consulting Group and proposed the 4Es HNWIs </w:t>
      </w:r>
      <w:r w:rsidR="00E51F90" w:rsidRPr="00DD6FAC">
        <w:rPr>
          <w:rFonts w:ascii="Times New Roman" w:eastAsia="Times New Roman" w:hAnsi="Times New Roman"/>
          <w:sz w:val="24"/>
          <w:szCs w:val="24"/>
        </w:rPr>
        <w:t xml:space="preserve">segmentation </w:t>
      </w:r>
      <w:r w:rsidRPr="00DD6FAC">
        <w:rPr>
          <w:rFonts w:ascii="Times New Roman" w:eastAsia="Times New Roman" w:hAnsi="Times New Roman"/>
          <w:sz w:val="24"/>
          <w:szCs w:val="24"/>
        </w:rPr>
        <w:t>model.</w:t>
      </w:r>
    </w:p>
    <w:p w:rsidR="00FB3CB9" w:rsidRPr="00DD6FAC" w:rsidRDefault="00FB3CB9" w:rsidP="00DD6FAC">
      <w:pPr>
        <w:spacing w:line="480" w:lineRule="auto"/>
        <w:jc w:val="both"/>
        <w:rPr>
          <w:rFonts w:ascii="Times New Roman" w:hAnsi="Times New Roman"/>
          <w:sz w:val="24"/>
          <w:szCs w:val="24"/>
        </w:rPr>
      </w:pPr>
      <w:r w:rsidRPr="00DD6FAC">
        <w:rPr>
          <w:rFonts w:ascii="Times New Roman" w:hAnsi="Times New Roman"/>
          <w:sz w:val="24"/>
          <w:szCs w:val="24"/>
        </w:rPr>
        <w:t xml:space="preserve">The 4Es proposed by Chung </w:t>
      </w:r>
      <w:r w:rsidR="009F04A4">
        <w:rPr>
          <w:rFonts w:ascii="Times New Roman" w:hAnsi="Times New Roman"/>
          <w:sz w:val="24"/>
          <w:szCs w:val="24"/>
        </w:rPr>
        <w:t>et al.</w:t>
      </w:r>
      <w:r w:rsidRPr="00DD6FAC">
        <w:rPr>
          <w:rFonts w:ascii="Times New Roman" w:hAnsi="Times New Roman"/>
          <w:sz w:val="24"/>
          <w:szCs w:val="24"/>
        </w:rPr>
        <w:t xml:space="preserve"> (2014) includes the </w:t>
      </w:r>
      <w:r w:rsidRPr="00DD6FAC">
        <w:rPr>
          <w:rFonts w:ascii="Times New Roman" w:hAnsi="Times New Roman"/>
          <w:i/>
          <w:sz w:val="24"/>
          <w:szCs w:val="24"/>
        </w:rPr>
        <w:t>Endowed</w:t>
      </w:r>
      <w:r w:rsidRPr="00DD6FAC">
        <w:rPr>
          <w:rFonts w:ascii="Times New Roman" w:hAnsi="Times New Roman"/>
          <w:sz w:val="24"/>
          <w:szCs w:val="24"/>
        </w:rPr>
        <w:t xml:space="preserve"> segment, the </w:t>
      </w:r>
      <w:r w:rsidRPr="00DD6FAC">
        <w:rPr>
          <w:rFonts w:ascii="Times New Roman" w:hAnsi="Times New Roman"/>
          <w:i/>
          <w:sz w:val="24"/>
          <w:szCs w:val="24"/>
        </w:rPr>
        <w:t>Entertainers</w:t>
      </w:r>
      <w:r w:rsidRPr="00DD6FAC">
        <w:rPr>
          <w:rFonts w:ascii="Times New Roman" w:hAnsi="Times New Roman"/>
          <w:sz w:val="24"/>
          <w:szCs w:val="24"/>
        </w:rPr>
        <w:t xml:space="preserve"> segment, the </w:t>
      </w:r>
      <w:r w:rsidRPr="00DD6FAC">
        <w:rPr>
          <w:rFonts w:ascii="Times New Roman" w:hAnsi="Times New Roman"/>
          <w:i/>
          <w:sz w:val="24"/>
          <w:szCs w:val="24"/>
        </w:rPr>
        <w:t>Executives</w:t>
      </w:r>
      <w:r w:rsidRPr="00DD6FAC">
        <w:rPr>
          <w:rFonts w:ascii="Times New Roman" w:hAnsi="Times New Roman"/>
          <w:sz w:val="24"/>
          <w:szCs w:val="24"/>
        </w:rPr>
        <w:t xml:space="preserve"> segment, and the </w:t>
      </w:r>
      <w:r w:rsidRPr="00DD6FAC">
        <w:rPr>
          <w:rFonts w:ascii="Times New Roman" w:hAnsi="Times New Roman"/>
          <w:i/>
          <w:sz w:val="24"/>
          <w:szCs w:val="24"/>
        </w:rPr>
        <w:t>Entrepreneurs</w:t>
      </w:r>
      <w:r w:rsidRPr="00DD6FAC">
        <w:rPr>
          <w:rFonts w:ascii="Times New Roman" w:hAnsi="Times New Roman"/>
          <w:sz w:val="24"/>
          <w:szCs w:val="24"/>
        </w:rPr>
        <w:t xml:space="preserve"> segments.  The following provides a summary of </w:t>
      </w:r>
      <w:r w:rsidR="00F6126F" w:rsidRPr="00DD6FAC">
        <w:rPr>
          <w:rFonts w:ascii="Times New Roman" w:hAnsi="Times New Roman"/>
          <w:sz w:val="24"/>
          <w:szCs w:val="24"/>
        </w:rPr>
        <w:t>how the 4Es captures and unified the different segments described in the above section.</w:t>
      </w:r>
    </w:p>
    <w:p w:rsidR="00DE6D9D" w:rsidRPr="00DD6FAC" w:rsidRDefault="00DE6D9D" w:rsidP="00DD6FAC">
      <w:pPr>
        <w:spacing w:line="480" w:lineRule="auto"/>
        <w:jc w:val="both"/>
        <w:rPr>
          <w:rFonts w:ascii="Times New Roman" w:hAnsi="Times New Roman"/>
          <w:sz w:val="24"/>
          <w:szCs w:val="24"/>
        </w:rPr>
      </w:pPr>
      <w:r w:rsidRPr="00DD6FAC">
        <w:rPr>
          <w:rFonts w:ascii="Times New Roman" w:hAnsi="Times New Roman"/>
          <w:sz w:val="24"/>
          <w:szCs w:val="24"/>
        </w:rPr>
        <w:t>First, t</w:t>
      </w:r>
      <w:r w:rsidR="00DA045F" w:rsidRPr="00DD6FAC">
        <w:rPr>
          <w:rFonts w:ascii="Times New Roman" w:hAnsi="Times New Roman"/>
          <w:sz w:val="24"/>
          <w:szCs w:val="24"/>
        </w:rPr>
        <w:t xml:space="preserve">he classification categories proposed by </w:t>
      </w:r>
      <w:r w:rsidR="00E24055" w:rsidRPr="00DD6FAC">
        <w:rPr>
          <w:rFonts w:ascii="Times New Roman" w:hAnsi="Times New Roman"/>
          <w:sz w:val="24"/>
          <w:szCs w:val="24"/>
        </w:rPr>
        <w:t>Nomura (2006)</w:t>
      </w:r>
      <w:r w:rsidRPr="00DD6FAC">
        <w:rPr>
          <w:rFonts w:ascii="Times New Roman" w:hAnsi="Times New Roman"/>
          <w:sz w:val="24"/>
          <w:szCs w:val="24"/>
        </w:rPr>
        <w:t xml:space="preserve"> which include the “born-rich,” the “hard-workers” and the “over-night wealth”</w:t>
      </w:r>
      <w:r w:rsidR="00E24055" w:rsidRPr="00DD6FAC">
        <w:rPr>
          <w:rFonts w:ascii="Times New Roman" w:hAnsi="Times New Roman"/>
          <w:sz w:val="24"/>
          <w:szCs w:val="24"/>
        </w:rPr>
        <w:t xml:space="preserve">.  The “born-rich” group achieves their wealth from </w:t>
      </w:r>
      <w:r w:rsidR="00D325F8" w:rsidRPr="00DD6FAC">
        <w:rPr>
          <w:rFonts w:ascii="Times New Roman" w:hAnsi="Times New Roman"/>
          <w:sz w:val="24"/>
          <w:szCs w:val="24"/>
        </w:rPr>
        <w:t xml:space="preserve">an endowment of </w:t>
      </w:r>
      <w:r w:rsidR="00F6126F" w:rsidRPr="00DD6FAC">
        <w:rPr>
          <w:rFonts w:ascii="Times New Roman" w:hAnsi="Times New Roman"/>
          <w:sz w:val="24"/>
          <w:szCs w:val="24"/>
        </w:rPr>
        <w:t xml:space="preserve">inheritance; hence this </w:t>
      </w:r>
      <w:r w:rsidR="00D325F8" w:rsidRPr="00DD6FAC">
        <w:rPr>
          <w:rFonts w:ascii="Times New Roman" w:hAnsi="Times New Roman"/>
          <w:sz w:val="24"/>
          <w:szCs w:val="24"/>
        </w:rPr>
        <w:t xml:space="preserve">client segment </w:t>
      </w:r>
      <w:r w:rsidR="00E24055" w:rsidRPr="00DD6FAC">
        <w:rPr>
          <w:rFonts w:ascii="Times New Roman" w:hAnsi="Times New Roman"/>
          <w:sz w:val="24"/>
          <w:szCs w:val="24"/>
        </w:rPr>
        <w:t xml:space="preserve">can be more conveniently </w:t>
      </w:r>
      <w:r w:rsidR="00A847D8" w:rsidRPr="00DD6FAC">
        <w:rPr>
          <w:rFonts w:ascii="Times New Roman" w:hAnsi="Times New Roman"/>
          <w:sz w:val="24"/>
          <w:szCs w:val="24"/>
        </w:rPr>
        <w:t>re-</w:t>
      </w:r>
      <w:r w:rsidR="00E24055" w:rsidRPr="00DD6FAC">
        <w:rPr>
          <w:rFonts w:ascii="Times New Roman" w:hAnsi="Times New Roman"/>
          <w:sz w:val="24"/>
          <w:szCs w:val="24"/>
        </w:rPr>
        <w:t xml:space="preserve">labelled as </w:t>
      </w:r>
      <w:r w:rsidR="00E24055" w:rsidRPr="00DD6FAC">
        <w:rPr>
          <w:rFonts w:ascii="Times New Roman" w:eastAsia="Times New Roman" w:hAnsi="Times New Roman"/>
          <w:sz w:val="24"/>
          <w:szCs w:val="24"/>
        </w:rPr>
        <w:t>“</w:t>
      </w:r>
      <w:r w:rsidR="00D325F8" w:rsidRPr="00DD6FAC">
        <w:rPr>
          <w:rFonts w:ascii="Times New Roman" w:eastAsia="Times New Roman" w:hAnsi="Times New Roman"/>
          <w:i/>
          <w:sz w:val="24"/>
          <w:szCs w:val="24"/>
        </w:rPr>
        <w:t>Endowed</w:t>
      </w:r>
      <w:r w:rsidR="00E24055" w:rsidRPr="00DD6FAC">
        <w:rPr>
          <w:rFonts w:ascii="Times New Roman" w:hAnsi="Times New Roman"/>
          <w:sz w:val="24"/>
          <w:szCs w:val="24"/>
        </w:rPr>
        <w:t>.”  In the meantime, the “hard-workers” group</w:t>
      </w:r>
      <w:r w:rsidR="00F6126F" w:rsidRPr="00DD6FAC">
        <w:rPr>
          <w:rFonts w:ascii="Times New Roman" w:hAnsi="Times New Roman"/>
          <w:sz w:val="24"/>
          <w:szCs w:val="24"/>
        </w:rPr>
        <w:t xml:space="preserve"> </w:t>
      </w:r>
      <w:r w:rsidR="00E24055" w:rsidRPr="00DD6FAC">
        <w:rPr>
          <w:rFonts w:ascii="Times New Roman" w:hAnsi="Times New Roman"/>
          <w:sz w:val="24"/>
          <w:szCs w:val="24"/>
        </w:rPr>
        <w:lastRenderedPageBreak/>
        <w:t xml:space="preserve">typically achieves their wealth from progressing through their career towards an executive level.  As such, this group </w:t>
      </w:r>
      <w:r w:rsidR="00D325F8" w:rsidRPr="00DD6FAC">
        <w:rPr>
          <w:rFonts w:ascii="Times New Roman" w:hAnsi="Times New Roman"/>
          <w:sz w:val="24"/>
          <w:szCs w:val="24"/>
        </w:rPr>
        <w:t xml:space="preserve">of HNWIs </w:t>
      </w:r>
      <w:r w:rsidR="00E24055" w:rsidRPr="00DD6FAC">
        <w:rPr>
          <w:rFonts w:ascii="Times New Roman" w:hAnsi="Times New Roman"/>
          <w:sz w:val="24"/>
          <w:szCs w:val="24"/>
        </w:rPr>
        <w:t xml:space="preserve">can be more conveniently </w:t>
      </w:r>
      <w:r w:rsidR="00A847D8" w:rsidRPr="00DD6FAC">
        <w:rPr>
          <w:rFonts w:ascii="Times New Roman" w:hAnsi="Times New Roman"/>
          <w:sz w:val="24"/>
          <w:szCs w:val="24"/>
        </w:rPr>
        <w:t>re-</w:t>
      </w:r>
      <w:r w:rsidR="00E24055" w:rsidRPr="00DD6FAC">
        <w:rPr>
          <w:rFonts w:ascii="Times New Roman" w:hAnsi="Times New Roman"/>
          <w:sz w:val="24"/>
          <w:szCs w:val="24"/>
        </w:rPr>
        <w:t>labelled as “</w:t>
      </w:r>
      <w:r w:rsidR="00E24055" w:rsidRPr="00DD6FAC">
        <w:rPr>
          <w:rFonts w:ascii="Times New Roman" w:hAnsi="Times New Roman"/>
          <w:i/>
          <w:sz w:val="24"/>
          <w:szCs w:val="24"/>
        </w:rPr>
        <w:t>Executives</w:t>
      </w:r>
      <w:r w:rsidR="00E24055" w:rsidRPr="00DD6FAC">
        <w:rPr>
          <w:rFonts w:ascii="Times New Roman" w:hAnsi="Times New Roman"/>
          <w:sz w:val="24"/>
          <w:szCs w:val="24"/>
        </w:rPr>
        <w:t xml:space="preserve">.”  </w:t>
      </w:r>
      <w:r w:rsidRPr="00DD6FAC">
        <w:rPr>
          <w:rFonts w:ascii="Times New Roman" w:hAnsi="Times New Roman"/>
          <w:sz w:val="24"/>
          <w:szCs w:val="24"/>
        </w:rPr>
        <w:t xml:space="preserve">Finally, </w:t>
      </w:r>
      <w:r w:rsidR="002104D3" w:rsidRPr="00DD6FAC">
        <w:rPr>
          <w:rFonts w:ascii="Times New Roman" w:hAnsi="Times New Roman"/>
          <w:sz w:val="24"/>
          <w:szCs w:val="24"/>
        </w:rPr>
        <w:t xml:space="preserve">for the segment classified as “overnight wealth” </w:t>
      </w:r>
      <w:r w:rsidR="00F6126F" w:rsidRPr="00DD6FAC">
        <w:rPr>
          <w:rFonts w:ascii="Times New Roman" w:hAnsi="Times New Roman"/>
          <w:sz w:val="24"/>
          <w:szCs w:val="24"/>
        </w:rPr>
        <w:t xml:space="preserve">includes those who </w:t>
      </w:r>
      <w:r w:rsidR="002104D3" w:rsidRPr="00DD6FAC">
        <w:rPr>
          <w:rFonts w:ascii="Times New Roman" w:hAnsi="Times New Roman"/>
          <w:sz w:val="24"/>
          <w:szCs w:val="24"/>
        </w:rPr>
        <w:t>achieved their wealth either from retirement</w:t>
      </w:r>
      <w:r w:rsidR="00F6126F" w:rsidRPr="00DD6FAC">
        <w:rPr>
          <w:rFonts w:ascii="Times New Roman" w:hAnsi="Times New Roman"/>
          <w:sz w:val="24"/>
          <w:szCs w:val="24"/>
        </w:rPr>
        <w:t>, i.e., “</w:t>
      </w:r>
      <w:r w:rsidR="00F6126F" w:rsidRPr="00DD6FAC">
        <w:rPr>
          <w:rFonts w:ascii="Times New Roman" w:hAnsi="Times New Roman"/>
          <w:i/>
          <w:sz w:val="24"/>
          <w:szCs w:val="24"/>
        </w:rPr>
        <w:t>Executives</w:t>
      </w:r>
      <w:r w:rsidR="00F6126F" w:rsidRPr="00DD6FAC">
        <w:rPr>
          <w:rFonts w:ascii="Times New Roman" w:hAnsi="Times New Roman"/>
          <w:sz w:val="24"/>
          <w:szCs w:val="24"/>
        </w:rPr>
        <w:t>”</w:t>
      </w:r>
      <w:r w:rsidR="002104D3" w:rsidRPr="00DD6FAC">
        <w:rPr>
          <w:rFonts w:ascii="Times New Roman" w:hAnsi="Times New Roman"/>
          <w:sz w:val="24"/>
          <w:szCs w:val="24"/>
        </w:rPr>
        <w:t xml:space="preserve"> or sales of business,</w:t>
      </w:r>
      <w:r w:rsidR="00F6126F" w:rsidRPr="00DD6FAC">
        <w:rPr>
          <w:rFonts w:ascii="Times New Roman" w:hAnsi="Times New Roman"/>
          <w:sz w:val="24"/>
          <w:szCs w:val="24"/>
        </w:rPr>
        <w:t xml:space="preserve"> i.e., “</w:t>
      </w:r>
      <w:r w:rsidR="00F6126F" w:rsidRPr="00DD6FAC">
        <w:rPr>
          <w:rFonts w:ascii="Times New Roman" w:hAnsi="Times New Roman"/>
          <w:i/>
          <w:sz w:val="24"/>
          <w:szCs w:val="24"/>
        </w:rPr>
        <w:t>Entrepreneurs</w:t>
      </w:r>
      <w:r w:rsidR="00F6126F" w:rsidRPr="00DD6FAC">
        <w:rPr>
          <w:rFonts w:ascii="Times New Roman" w:hAnsi="Times New Roman"/>
          <w:sz w:val="24"/>
          <w:szCs w:val="24"/>
        </w:rPr>
        <w:t xml:space="preserve">.”  </w:t>
      </w:r>
      <w:r w:rsidR="00316752" w:rsidRPr="00DD6FAC">
        <w:rPr>
          <w:rFonts w:ascii="Times New Roman" w:hAnsi="Times New Roman"/>
          <w:sz w:val="24"/>
          <w:szCs w:val="24"/>
        </w:rPr>
        <w:t xml:space="preserve">In sum, the Nomura classification is now re-segmented into </w:t>
      </w:r>
      <w:r w:rsidR="00F6126F" w:rsidRPr="00DD6FAC">
        <w:rPr>
          <w:rFonts w:ascii="Times New Roman" w:hAnsi="Times New Roman"/>
          <w:sz w:val="24"/>
          <w:szCs w:val="24"/>
        </w:rPr>
        <w:t xml:space="preserve">three the </w:t>
      </w:r>
      <w:r w:rsidR="00316752" w:rsidRPr="00DD6FAC">
        <w:rPr>
          <w:rFonts w:ascii="Times New Roman" w:hAnsi="Times New Roman"/>
          <w:sz w:val="24"/>
          <w:szCs w:val="24"/>
        </w:rPr>
        <w:t>“</w:t>
      </w:r>
      <w:r w:rsidR="00316752" w:rsidRPr="00DD6FAC">
        <w:rPr>
          <w:rFonts w:ascii="Times New Roman" w:hAnsi="Times New Roman"/>
          <w:i/>
          <w:sz w:val="24"/>
          <w:szCs w:val="24"/>
        </w:rPr>
        <w:t>Endowed</w:t>
      </w:r>
      <w:r w:rsidR="00316752" w:rsidRPr="00DD6FAC">
        <w:rPr>
          <w:rFonts w:ascii="Times New Roman" w:hAnsi="Times New Roman"/>
          <w:sz w:val="24"/>
          <w:szCs w:val="24"/>
        </w:rPr>
        <w:t xml:space="preserve">,” </w:t>
      </w:r>
      <w:r w:rsidR="00F6126F" w:rsidRPr="00DD6FAC">
        <w:rPr>
          <w:rFonts w:ascii="Times New Roman" w:hAnsi="Times New Roman"/>
          <w:sz w:val="24"/>
          <w:szCs w:val="24"/>
        </w:rPr>
        <w:t xml:space="preserve">the </w:t>
      </w:r>
      <w:r w:rsidR="00316752" w:rsidRPr="00DD6FAC">
        <w:rPr>
          <w:rFonts w:ascii="Times New Roman" w:hAnsi="Times New Roman"/>
          <w:sz w:val="24"/>
          <w:szCs w:val="24"/>
        </w:rPr>
        <w:t>“</w:t>
      </w:r>
      <w:r w:rsidR="00316752" w:rsidRPr="00DD6FAC">
        <w:rPr>
          <w:rFonts w:ascii="Times New Roman" w:hAnsi="Times New Roman"/>
          <w:i/>
          <w:sz w:val="24"/>
          <w:szCs w:val="24"/>
        </w:rPr>
        <w:t>Executives</w:t>
      </w:r>
      <w:r w:rsidR="00316752" w:rsidRPr="00DD6FAC">
        <w:rPr>
          <w:rFonts w:ascii="Times New Roman" w:hAnsi="Times New Roman"/>
          <w:sz w:val="24"/>
          <w:szCs w:val="24"/>
        </w:rPr>
        <w:t xml:space="preserve">,” and </w:t>
      </w:r>
      <w:r w:rsidR="00F6126F" w:rsidRPr="00DD6FAC">
        <w:rPr>
          <w:rFonts w:ascii="Times New Roman" w:hAnsi="Times New Roman"/>
          <w:sz w:val="24"/>
          <w:szCs w:val="24"/>
        </w:rPr>
        <w:t xml:space="preserve">the </w:t>
      </w:r>
      <w:r w:rsidR="00316752" w:rsidRPr="00DD6FAC">
        <w:rPr>
          <w:rFonts w:ascii="Times New Roman" w:hAnsi="Times New Roman"/>
          <w:sz w:val="24"/>
          <w:szCs w:val="24"/>
        </w:rPr>
        <w:t>“</w:t>
      </w:r>
      <w:r w:rsidR="00316752" w:rsidRPr="00DD6FAC">
        <w:rPr>
          <w:rFonts w:ascii="Times New Roman" w:hAnsi="Times New Roman"/>
          <w:i/>
          <w:sz w:val="24"/>
          <w:szCs w:val="24"/>
        </w:rPr>
        <w:t>Entrepreneurs</w:t>
      </w:r>
      <w:r w:rsidR="00316752" w:rsidRPr="00DD6FAC">
        <w:rPr>
          <w:rFonts w:ascii="Times New Roman" w:hAnsi="Times New Roman"/>
          <w:sz w:val="24"/>
          <w:szCs w:val="24"/>
        </w:rPr>
        <w:t>.”</w:t>
      </w:r>
    </w:p>
    <w:p w:rsidR="00E24055" w:rsidRPr="00DD6FAC" w:rsidRDefault="00F6126F" w:rsidP="00DD6FAC">
      <w:pPr>
        <w:spacing w:line="480" w:lineRule="auto"/>
        <w:jc w:val="both"/>
        <w:rPr>
          <w:rFonts w:ascii="Times New Roman" w:hAnsi="Times New Roman"/>
          <w:sz w:val="24"/>
          <w:szCs w:val="24"/>
        </w:rPr>
      </w:pPr>
      <w:r w:rsidRPr="00DD6FAC">
        <w:rPr>
          <w:rFonts w:ascii="Times New Roman" w:hAnsi="Times New Roman"/>
          <w:sz w:val="24"/>
          <w:szCs w:val="24"/>
        </w:rPr>
        <w:t xml:space="preserve">For the classification system </w:t>
      </w:r>
      <w:r w:rsidR="00353405" w:rsidRPr="00DD6FAC">
        <w:rPr>
          <w:rFonts w:ascii="Times New Roman" w:hAnsi="Times New Roman"/>
          <w:sz w:val="24"/>
          <w:szCs w:val="24"/>
        </w:rPr>
        <w:t xml:space="preserve">used by </w:t>
      </w:r>
      <w:r w:rsidRPr="00DD6FAC">
        <w:rPr>
          <w:rFonts w:ascii="Times New Roman" w:hAnsi="Times New Roman"/>
          <w:sz w:val="24"/>
          <w:szCs w:val="24"/>
        </w:rPr>
        <w:t>Coutts</w:t>
      </w:r>
      <w:r w:rsidR="00353405" w:rsidRPr="00DD6FAC">
        <w:rPr>
          <w:rFonts w:ascii="Times New Roman" w:hAnsi="Times New Roman"/>
          <w:sz w:val="24"/>
          <w:szCs w:val="24"/>
        </w:rPr>
        <w:t xml:space="preserve">, Chung </w:t>
      </w:r>
      <w:r w:rsidR="009F04A4">
        <w:rPr>
          <w:rFonts w:ascii="Times New Roman" w:hAnsi="Times New Roman"/>
          <w:sz w:val="24"/>
          <w:szCs w:val="24"/>
        </w:rPr>
        <w:t>et al.</w:t>
      </w:r>
      <w:r w:rsidR="00353405" w:rsidRPr="00DD6FAC">
        <w:rPr>
          <w:rFonts w:ascii="Times New Roman" w:hAnsi="Times New Roman"/>
          <w:sz w:val="24"/>
          <w:szCs w:val="24"/>
        </w:rPr>
        <w:t xml:space="preserve"> (2014) </w:t>
      </w:r>
      <w:r w:rsidR="00316752" w:rsidRPr="00DD6FAC">
        <w:rPr>
          <w:rFonts w:ascii="Times New Roman" w:hAnsi="Times New Roman"/>
          <w:sz w:val="24"/>
          <w:szCs w:val="24"/>
        </w:rPr>
        <w:t>retain</w:t>
      </w:r>
      <w:r w:rsidR="00353405" w:rsidRPr="00DD6FAC">
        <w:rPr>
          <w:rFonts w:ascii="Times New Roman" w:hAnsi="Times New Roman"/>
          <w:sz w:val="24"/>
          <w:szCs w:val="24"/>
        </w:rPr>
        <w:t>ed</w:t>
      </w:r>
      <w:r w:rsidR="00316752" w:rsidRPr="00DD6FAC">
        <w:rPr>
          <w:rFonts w:ascii="Times New Roman" w:hAnsi="Times New Roman"/>
          <w:sz w:val="24"/>
          <w:szCs w:val="24"/>
        </w:rPr>
        <w:t xml:space="preserve"> the “</w:t>
      </w:r>
      <w:r w:rsidR="00316752" w:rsidRPr="00DD6FAC">
        <w:rPr>
          <w:rFonts w:ascii="Times New Roman" w:hAnsi="Times New Roman"/>
          <w:i/>
          <w:sz w:val="24"/>
          <w:szCs w:val="24"/>
        </w:rPr>
        <w:t>Entrepreneurs</w:t>
      </w:r>
      <w:r w:rsidR="00316752" w:rsidRPr="00DD6FAC">
        <w:rPr>
          <w:rFonts w:ascii="Times New Roman" w:hAnsi="Times New Roman"/>
          <w:sz w:val="24"/>
          <w:szCs w:val="24"/>
        </w:rPr>
        <w:t>” and “</w:t>
      </w:r>
      <w:r w:rsidR="00316752" w:rsidRPr="00DD6FAC">
        <w:rPr>
          <w:rFonts w:ascii="Times New Roman" w:hAnsi="Times New Roman"/>
          <w:i/>
          <w:sz w:val="24"/>
          <w:szCs w:val="24"/>
        </w:rPr>
        <w:t>Executives</w:t>
      </w:r>
      <w:r w:rsidR="00316752" w:rsidRPr="00DD6FAC">
        <w:rPr>
          <w:rFonts w:ascii="Times New Roman" w:hAnsi="Times New Roman"/>
          <w:sz w:val="24"/>
          <w:szCs w:val="24"/>
        </w:rPr>
        <w:t>” segments that are found in Coutts</w:t>
      </w:r>
      <w:r w:rsidR="00353405" w:rsidRPr="00DD6FAC">
        <w:rPr>
          <w:rFonts w:ascii="Times New Roman" w:hAnsi="Times New Roman"/>
          <w:sz w:val="24"/>
          <w:szCs w:val="24"/>
        </w:rPr>
        <w:t>’ original classification</w:t>
      </w:r>
      <w:r w:rsidR="00316752" w:rsidRPr="00DD6FAC">
        <w:rPr>
          <w:rFonts w:ascii="Times New Roman" w:hAnsi="Times New Roman"/>
          <w:sz w:val="24"/>
          <w:szCs w:val="24"/>
        </w:rPr>
        <w:t xml:space="preserve">.  The “landowners” segment in the Coutts system can arguably be </w:t>
      </w:r>
      <w:r w:rsidR="00353405" w:rsidRPr="00DD6FAC">
        <w:rPr>
          <w:rFonts w:ascii="Times New Roman" w:hAnsi="Times New Roman"/>
          <w:sz w:val="24"/>
          <w:szCs w:val="24"/>
        </w:rPr>
        <w:t xml:space="preserve">segmented </w:t>
      </w:r>
      <w:r w:rsidR="00316752" w:rsidRPr="00DD6FAC">
        <w:rPr>
          <w:rFonts w:ascii="Times New Roman" w:hAnsi="Times New Roman"/>
          <w:sz w:val="24"/>
          <w:szCs w:val="24"/>
        </w:rPr>
        <w:t>either as “</w:t>
      </w:r>
      <w:r w:rsidR="00316752" w:rsidRPr="00DD6FAC">
        <w:rPr>
          <w:rFonts w:ascii="Times New Roman" w:hAnsi="Times New Roman"/>
          <w:i/>
          <w:sz w:val="24"/>
          <w:szCs w:val="24"/>
        </w:rPr>
        <w:t>Endowed</w:t>
      </w:r>
      <w:r w:rsidR="00316752" w:rsidRPr="00DD6FAC">
        <w:rPr>
          <w:rFonts w:ascii="Times New Roman" w:hAnsi="Times New Roman"/>
          <w:sz w:val="24"/>
          <w:szCs w:val="24"/>
        </w:rPr>
        <w:t xml:space="preserve">,” </w:t>
      </w:r>
      <w:r w:rsidR="00353405" w:rsidRPr="00DD6FAC">
        <w:rPr>
          <w:rFonts w:ascii="Times New Roman" w:hAnsi="Times New Roman"/>
          <w:sz w:val="24"/>
          <w:szCs w:val="24"/>
        </w:rPr>
        <w:t xml:space="preserve">for inherited land, </w:t>
      </w:r>
      <w:r w:rsidR="00316752" w:rsidRPr="00DD6FAC">
        <w:rPr>
          <w:rFonts w:ascii="Times New Roman" w:hAnsi="Times New Roman"/>
          <w:sz w:val="24"/>
          <w:szCs w:val="24"/>
        </w:rPr>
        <w:t>or “</w:t>
      </w:r>
      <w:r w:rsidR="00316752" w:rsidRPr="00DD6FAC">
        <w:rPr>
          <w:rFonts w:ascii="Times New Roman" w:hAnsi="Times New Roman"/>
          <w:i/>
          <w:sz w:val="24"/>
          <w:szCs w:val="24"/>
        </w:rPr>
        <w:t>Entrepreneurs</w:t>
      </w:r>
      <w:r w:rsidR="00353405" w:rsidRPr="00DD6FAC">
        <w:rPr>
          <w:rFonts w:ascii="Times New Roman" w:hAnsi="Times New Roman"/>
          <w:sz w:val="24"/>
          <w:szCs w:val="24"/>
        </w:rPr>
        <w:t>,</w:t>
      </w:r>
      <w:r w:rsidR="00316752" w:rsidRPr="00DD6FAC">
        <w:rPr>
          <w:rFonts w:ascii="Times New Roman" w:hAnsi="Times New Roman"/>
          <w:sz w:val="24"/>
          <w:szCs w:val="24"/>
        </w:rPr>
        <w:t>”</w:t>
      </w:r>
      <w:r w:rsidR="00353405" w:rsidRPr="00DD6FAC">
        <w:rPr>
          <w:rFonts w:ascii="Times New Roman" w:hAnsi="Times New Roman"/>
          <w:sz w:val="24"/>
          <w:szCs w:val="24"/>
        </w:rPr>
        <w:t xml:space="preserve"> for those whose land was acquired through recent purchases.  </w:t>
      </w:r>
      <w:r w:rsidR="00316752" w:rsidRPr="00DD6FAC">
        <w:rPr>
          <w:rFonts w:ascii="Times New Roman" w:hAnsi="Times New Roman"/>
          <w:sz w:val="24"/>
          <w:szCs w:val="24"/>
        </w:rPr>
        <w:t>“</w:t>
      </w:r>
      <w:r w:rsidR="00316752" w:rsidRPr="00DD6FAC">
        <w:rPr>
          <w:rFonts w:ascii="Times New Roman" w:hAnsi="Times New Roman"/>
          <w:i/>
          <w:sz w:val="24"/>
          <w:szCs w:val="24"/>
        </w:rPr>
        <w:t>Sports and Entertainment</w:t>
      </w:r>
      <w:r w:rsidR="00316752" w:rsidRPr="00DD6FAC">
        <w:rPr>
          <w:rFonts w:ascii="Times New Roman" w:hAnsi="Times New Roman"/>
          <w:sz w:val="24"/>
          <w:szCs w:val="24"/>
        </w:rPr>
        <w:t xml:space="preserve">” </w:t>
      </w:r>
      <w:r w:rsidR="00353405" w:rsidRPr="00DD6FAC">
        <w:rPr>
          <w:rFonts w:ascii="Times New Roman" w:hAnsi="Times New Roman"/>
          <w:sz w:val="24"/>
          <w:szCs w:val="24"/>
        </w:rPr>
        <w:t xml:space="preserve">in the Coutts system </w:t>
      </w:r>
      <w:r w:rsidR="00316752" w:rsidRPr="00DD6FAC">
        <w:rPr>
          <w:rFonts w:ascii="Times New Roman" w:hAnsi="Times New Roman"/>
          <w:sz w:val="24"/>
          <w:szCs w:val="24"/>
        </w:rPr>
        <w:t xml:space="preserve">can be classified as </w:t>
      </w:r>
      <w:r w:rsidR="00316752" w:rsidRPr="00DD6FAC">
        <w:rPr>
          <w:rFonts w:ascii="Times New Roman" w:hAnsi="Times New Roman"/>
          <w:i/>
          <w:sz w:val="24"/>
          <w:szCs w:val="24"/>
        </w:rPr>
        <w:t>Entertainers</w:t>
      </w:r>
      <w:r w:rsidR="00316752" w:rsidRPr="00DD6FAC">
        <w:rPr>
          <w:rFonts w:ascii="Times New Roman" w:hAnsi="Times New Roman"/>
          <w:sz w:val="24"/>
          <w:szCs w:val="24"/>
        </w:rPr>
        <w:t xml:space="preserve"> in general</w:t>
      </w:r>
      <w:r w:rsidR="00353405" w:rsidRPr="00DD6FAC">
        <w:rPr>
          <w:rFonts w:ascii="Times New Roman" w:hAnsi="Times New Roman"/>
          <w:sz w:val="24"/>
          <w:szCs w:val="24"/>
        </w:rPr>
        <w:t xml:space="preserve">.  </w:t>
      </w:r>
      <w:r w:rsidR="00316752" w:rsidRPr="00DD6FAC">
        <w:rPr>
          <w:rFonts w:ascii="Times New Roman" w:hAnsi="Times New Roman"/>
          <w:sz w:val="24"/>
          <w:szCs w:val="24"/>
        </w:rPr>
        <w:t>“</w:t>
      </w:r>
      <w:r w:rsidR="00316752" w:rsidRPr="00DD6FAC">
        <w:rPr>
          <w:rFonts w:ascii="Times New Roman" w:hAnsi="Times New Roman"/>
          <w:i/>
          <w:sz w:val="24"/>
          <w:szCs w:val="24"/>
        </w:rPr>
        <w:t>Internationals</w:t>
      </w:r>
      <w:r w:rsidR="00316752" w:rsidRPr="00DD6FAC">
        <w:rPr>
          <w:rFonts w:ascii="Times New Roman" w:hAnsi="Times New Roman"/>
          <w:sz w:val="24"/>
          <w:szCs w:val="24"/>
        </w:rPr>
        <w:t>” are most likely “</w:t>
      </w:r>
      <w:r w:rsidR="00316752" w:rsidRPr="00DD6FAC">
        <w:rPr>
          <w:rFonts w:ascii="Times New Roman" w:hAnsi="Times New Roman"/>
          <w:i/>
          <w:sz w:val="24"/>
          <w:szCs w:val="24"/>
        </w:rPr>
        <w:t>Executives</w:t>
      </w:r>
      <w:r w:rsidR="00316752" w:rsidRPr="00DD6FAC">
        <w:rPr>
          <w:rFonts w:ascii="Times New Roman" w:hAnsi="Times New Roman"/>
          <w:sz w:val="24"/>
          <w:szCs w:val="24"/>
        </w:rPr>
        <w:t>” who are senior employees on oversees assignment.  “</w:t>
      </w:r>
      <w:r w:rsidR="00316752" w:rsidRPr="00DD6FAC">
        <w:rPr>
          <w:rFonts w:ascii="Times New Roman" w:hAnsi="Times New Roman"/>
          <w:i/>
          <w:sz w:val="24"/>
          <w:szCs w:val="24"/>
        </w:rPr>
        <w:t>Professionals</w:t>
      </w:r>
      <w:r w:rsidR="00316752" w:rsidRPr="00DD6FAC">
        <w:rPr>
          <w:rFonts w:ascii="Times New Roman" w:hAnsi="Times New Roman"/>
          <w:sz w:val="24"/>
          <w:szCs w:val="24"/>
        </w:rPr>
        <w:t xml:space="preserve">” </w:t>
      </w:r>
      <w:r w:rsidR="00353405" w:rsidRPr="00DD6FAC">
        <w:rPr>
          <w:rFonts w:ascii="Times New Roman" w:hAnsi="Times New Roman"/>
          <w:sz w:val="24"/>
          <w:szCs w:val="24"/>
        </w:rPr>
        <w:t xml:space="preserve">with </w:t>
      </w:r>
      <w:r w:rsidR="00316752" w:rsidRPr="00DD6FAC">
        <w:rPr>
          <w:rFonts w:ascii="Times New Roman" w:hAnsi="Times New Roman"/>
          <w:sz w:val="24"/>
          <w:szCs w:val="24"/>
        </w:rPr>
        <w:t>their sources of funds employment</w:t>
      </w:r>
      <w:r w:rsidR="00353405" w:rsidRPr="00DD6FAC">
        <w:rPr>
          <w:rFonts w:ascii="Times New Roman" w:hAnsi="Times New Roman"/>
          <w:sz w:val="24"/>
          <w:szCs w:val="24"/>
        </w:rPr>
        <w:t xml:space="preserve"> can be classified as “</w:t>
      </w:r>
      <w:r w:rsidR="00353405" w:rsidRPr="00DD6FAC">
        <w:rPr>
          <w:rFonts w:ascii="Times New Roman" w:hAnsi="Times New Roman"/>
          <w:i/>
          <w:sz w:val="24"/>
          <w:szCs w:val="24"/>
        </w:rPr>
        <w:t>Executives</w:t>
      </w:r>
      <w:r w:rsidR="00353405" w:rsidRPr="00DD6FAC">
        <w:rPr>
          <w:rFonts w:ascii="Times New Roman" w:hAnsi="Times New Roman"/>
          <w:sz w:val="24"/>
          <w:szCs w:val="24"/>
        </w:rPr>
        <w:t>,”</w:t>
      </w:r>
      <w:r w:rsidR="00316752" w:rsidRPr="00DD6FAC">
        <w:rPr>
          <w:rFonts w:ascii="Times New Roman" w:hAnsi="Times New Roman"/>
          <w:sz w:val="24"/>
          <w:szCs w:val="24"/>
        </w:rPr>
        <w:t xml:space="preserve"> or </w:t>
      </w:r>
      <w:r w:rsidR="00353405" w:rsidRPr="00DD6FAC">
        <w:rPr>
          <w:rFonts w:ascii="Times New Roman" w:hAnsi="Times New Roman"/>
          <w:sz w:val="24"/>
          <w:szCs w:val="24"/>
        </w:rPr>
        <w:t xml:space="preserve">those who </w:t>
      </w:r>
      <w:r w:rsidR="00316752" w:rsidRPr="00DD6FAC">
        <w:rPr>
          <w:rFonts w:ascii="Times New Roman" w:hAnsi="Times New Roman"/>
          <w:sz w:val="24"/>
          <w:szCs w:val="24"/>
        </w:rPr>
        <w:t xml:space="preserve">run their own venture, e.g., a medical doctor who runs a clinic, can be classified as </w:t>
      </w:r>
      <w:r w:rsidR="00353405" w:rsidRPr="00DD6FAC">
        <w:rPr>
          <w:rFonts w:ascii="Times New Roman" w:hAnsi="Times New Roman"/>
          <w:sz w:val="24"/>
          <w:szCs w:val="24"/>
        </w:rPr>
        <w:t>“</w:t>
      </w:r>
      <w:r w:rsidR="00353405" w:rsidRPr="00DD6FAC">
        <w:rPr>
          <w:rFonts w:ascii="Times New Roman" w:hAnsi="Times New Roman"/>
          <w:i/>
          <w:sz w:val="24"/>
          <w:szCs w:val="24"/>
        </w:rPr>
        <w:t>E</w:t>
      </w:r>
      <w:r w:rsidR="00316752" w:rsidRPr="00DD6FAC">
        <w:rPr>
          <w:rFonts w:ascii="Times New Roman" w:hAnsi="Times New Roman"/>
          <w:i/>
          <w:sz w:val="24"/>
          <w:szCs w:val="24"/>
        </w:rPr>
        <w:t>ntrepreneurs</w:t>
      </w:r>
      <w:r w:rsidR="00316752" w:rsidRPr="00DD6FAC">
        <w:rPr>
          <w:rFonts w:ascii="Times New Roman" w:hAnsi="Times New Roman"/>
          <w:sz w:val="24"/>
          <w:szCs w:val="24"/>
        </w:rPr>
        <w:t>.</w:t>
      </w:r>
      <w:r w:rsidR="00353405" w:rsidRPr="00DD6FAC">
        <w:rPr>
          <w:rFonts w:ascii="Times New Roman" w:hAnsi="Times New Roman"/>
          <w:sz w:val="24"/>
          <w:szCs w:val="24"/>
        </w:rPr>
        <w:t>”</w:t>
      </w:r>
      <w:r w:rsidR="00316752" w:rsidRPr="00DD6FAC">
        <w:rPr>
          <w:rFonts w:ascii="Times New Roman" w:hAnsi="Times New Roman"/>
          <w:sz w:val="24"/>
          <w:szCs w:val="24"/>
        </w:rPr>
        <w:t xml:space="preserve">  Finally, “</w:t>
      </w:r>
      <w:r w:rsidR="00316752" w:rsidRPr="00DD6FAC">
        <w:rPr>
          <w:rFonts w:ascii="Times New Roman" w:hAnsi="Times New Roman"/>
          <w:i/>
          <w:sz w:val="24"/>
          <w:szCs w:val="24"/>
        </w:rPr>
        <w:t>Private Office</w:t>
      </w:r>
      <w:r w:rsidR="00316752" w:rsidRPr="00DD6FAC">
        <w:rPr>
          <w:rFonts w:ascii="Times New Roman" w:hAnsi="Times New Roman"/>
          <w:sz w:val="24"/>
          <w:szCs w:val="24"/>
        </w:rPr>
        <w:t>” is a family-oriented</w:t>
      </w:r>
      <w:r w:rsidR="00680DD3" w:rsidRPr="00DD6FAC">
        <w:rPr>
          <w:rFonts w:ascii="Times New Roman" w:hAnsi="Times New Roman"/>
          <w:sz w:val="24"/>
          <w:szCs w:val="24"/>
        </w:rPr>
        <w:t xml:space="preserve"> client</w:t>
      </w:r>
      <w:r w:rsidR="00866AD9" w:rsidRPr="00DD6FAC">
        <w:rPr>
          <w:rFonts w:ascii="Times New Roman" w:hAnsi="Times New Roman"/>
          <w:sz w:val="24"/>
          <w:szCs w:val="24"/>
        </w:rPr>
        <w:t>-</w:t>
      </w:r>
      <w:r w:rsidR="00680DD3" w:rsidRPr="00DD6FAC">
        <w:rPr>
          <w:rFonts w:ascii="Times New Roman" w:hAnsi="Times New Roman"/>
          <w:sz w:val="24"/>
          <w:szCs w:val="24"/>
        </w:rPr>
        <w:t>category</w:t>
      </w:r>
      <w:r w:rsidR="00353405" w:rsidRPr="00DD6FAC">
        <w:rPr>
          <w:rFonts w:ascii="Times New Roman" w:hAnsi="Times New Roman"/>
          <w:sz w:val="24"/>
          <w:szCs w:val="24"/>
        </w:rPr>
        <w:t xml:space="preserve"> </w:t>
      </w:r>
      <w:r w:rsidR="00866AD9" w:rsidRPr="00DD6FAC">
        <w:rPr>
          <w:rFonts w:ascii="Times New Roman" w:hAnsi="Times New Roman"/>
          <w:sz w:val="24"/>
          <w:szCs w:val="24"/>
        </w:rPr>
        <w:t>and,</w:t>
      </w:r>
      <w:r w:rsidR="00353405" w:rsidRPr="00DD6FAC">
        <w:rPr>
          <w:rFonts w:ascii="Times New Roman" w:hAnsi="Times New Roman"/>
          <w:sz w:val="24"/>
          <w:szCs w:val="24"/>
        </w:rPr>
        <w:t xml:space="preserve"> </w:t>
      </w:r>
      <w:r w:rsidR="00316752" w:rsidRPr="00DD6FAC">
        <w:rPr>
          <w:rFonts w:ascii="Times New Roman" w:hAnsi="Times New Roman"/>
          <w:sz w:val="24"/>
          <w:szCs w:val="24"/>
        </w:rPr>
        <w:t>most likely</w:t>
      </w:r>
      <w:r w:rsidR="00866AD9" w:rsidRPr="00DD6FAC">
        <w:rPr>
          <w:rFonts w:ascii="Times New Roman" w:hAnsi="Times New Roman"/>
          <w:sz w:val="24"/>
          <w:szCs w:val="24"/>
        </w:rPr>
        <w:t>, of a</w:t>
      </w:r>
      <w:r w:rsidR="00316752" w:rsidRPr="00DD6FAC">
        <w:rPr>
          <w:rFonts w:ascii="Times New Roman" w:hAnsi="Times New Roman"/>
          <w:sz w:val="24"/>
          <w:szCs w:val="24"/>
        </w:rPr>
        <w:t xml:space="preserve"> multi-generational </w:t>
      </w:r>
      <w:r w:rsidR="00866AD9" w:rsidRPr="00DD6FAC">
        <w:rPr>
          <w:rFonts w:ascii="Times New Roman" w:hAnsi="Times New Roman"/>
          <w:sz w:val="24"/>
          <w:szCs w:val="24"/>
        </w:rPr>
        <w:t xml:space="preserve">nature </w:t>
      </w:r>
      <w:r w:rsidR="00316752" w:rsidRPr="00DD6FAC">
        <w:rPr>
          <w:rFonts w:ascii="Times New Roman" w:hAnsi="Times New Roman"/>
          <w:sz w:val="24"/>
          <w:szCs w:val="24"/>
        </w:rPr>
        <w:t>and</w:t>
      </w:r>
      <w:r w:rsidR="00866AD9" w:rsidRPr="00DD6FAC">
        <w:rPr>
          <w:rFonts w:ascii="Times New Roman" w:hAnsi="Times New Roman"/>
          <w:sz w:val="24"/>
          <w:szCs w:val="24"/>
        </w:rPr>
        <w:t xml:space="preserve"> </w:t>
      </w:r>
      <w:r w:rsidR="00316752" w:rsidRPr="00DD6FAC">
        <w:rPr>
          <w:rFonts w:ascii="Times New Roman" w:hAnsi="Times New Roman"/>
          <w:sz w:val="24"/>
          <w:szCs w:val="24"/>
        </w:rPr>
        <w:t xml:space="preserve">can be classified as </w:t>
      </w:r>
      <w:r w:rsidR="00680DD3" w:rsidRPr="00DD6FAC">
        <w:rPr>
          <w:rFonts w:ascii="Times New Roman" w:hAnsi="Times New Roman"/>
          <w:sz w:val="24"/>
          <w:szCs w:val="24"/>
        </w:rPr>
        <w:t>“</w:t>
      </w:r>
      <w:r w:rsidR="00316752" w:rsidRPr="00DD6FAC">
        <w:rPr>
          <w:rFonts w:ascii="Times New Roman" w:hAnsi="Times New Roman"/>
          <w:i/>
          <w:sz w:val="24"/>
          <w:szCs w:val="24"/>
        </w:rPr>
        <w:t>Endowed</w:t>
      </w:r>
      <w:r w:rsidR="00316752" w:rsidRPr="00DD6FAC">
        <w:rPr>
          <w:rFonts w:ascii="Times New Roman" w:hAnsi="Times New Roman"/>
          <w:sz w:val="24"/>
          <w:szCs w:val="24"/>
        </w:rPr>
        <w:t>.</w:t>
      </w:r>
      <w:r w:rsidR="00680DD3" w:rsidRPr="00DD6FAC">
        <w:rPr>
          <w:rFonts w:ascii="Times New Roman" w:hAnsi="Times New Roman"/>
          <w:sz w:val="24"/>
          <w:szCs w:val="24"/>
        </w:rPr>
        <w:t>”  Given this re-</w:t>
      </w:r>
      <w:r w:rsidR="00866AD9" w:rsidRPr="00DD6FAC">
        <w:rPr>
          <w:rFonts w:ascii="Times New Roman" w:hAnsi="Times New Roman"/>
          <w:sz w:val="24"/>
          <w:szCs w:val="24"/>
        </w:rPr>
        <w:t>classification</w:t>
      </w:r>
      <w:r w:rsidR="00680DD3" w:rsidRPr="00DD6FAC">
        <w:rPr>
          <w:rFonts w:ascii="Times New Roman" w:hAnsi="Times New Roman"/>
          <w:sz w:val="24"/>
          <w:szCs w:val="24"/>
        </w:rPr>
        <w:t>, t</w:t>
      </w:r>
      <w:r w:rsidR="00316752" w:rsidRPr="00DD6FAC">
        <w:rPr>
          <w:rFonts w:ascii="Times New Roman" w:hAnsi="Times New Roman"/>
          <w:sz w:val="24"/>
          <w:szCs w:val="24"/>
        </w:rPr>
        <w:t xml:space="preserve">he Coutts </w:t>
      </w:r>
      <w:r w:rsidR="00680DD3" w:rsidRPr="00DD6FAC">
        <w:rPr>
          <w:rFonts w:ascii="Times New Roman" w:hAnsi="Times New Roman"/>
          <w:sz w:val="24"/>
          <w:szCs w:val="24"/>
        </w:rPr>
        <w:t xml:space="preserve">7-category system </w:t>
      </w:r>
      <w:r w:rsidR="00316752" w:rsidRPr="00DD6FAC">
        <w:rPr>
          <w:rFonts w:ascii="Times New Roman" w:hAnsi="Times New Roman"/>
          <w:sz w:val="24"/>
          <w:szCs w:val="24"/>
        </w:rPr>
        <w:t xml:space="preserve">is now consolidated into four </w:t>
      </w:r>
      <w:r w:rsidR="00866AD9" w:rsidRPr="00DD6FAC">
        <w:rPr>
          <w:rFonts w:ascii="Times New Roman" w:hAnsi="Times New Roman"/>
          <w:sz w:val="24"/>
          <w:szCs w:val="24"/>
        </w:rPr>
        <w:t>segments</w:t>
      </w:r>
      <w:r w:rsidR="00316752" w:rsidRPr="00DD6FAC">
        <w:rPr>
          <w:rFonts w:ascii="Times New Roman" w:hAnsi="Times New Roman"/>
          <w:sz w:val="24"/>
          <w:szCs w:val="24"/>
        </w:rPr>
        <w:t xml:space="preserve">, </w:t>
      </w:r>
      <w:r w:rsidR="00680DD3" w:rsidRPr="00DD6FAC">
        <w:rPr>
          <w:rFonts w:ascii="Times New Roman" w:hAnsi="Times New Roman"/>
          <w:sz w:val="24"/>
          <w:szCs w:val="24"/>
        </w:rPr>
        <w:t>the “</w:t>
      </w:r>
      <w:r w:rsidR="00680DD3" w:rsidRPr="00DD6FAC">
        <w:rPr>
          <w:rFonts w:ascii="Times New Roman" w:hAnsi="Times New Roman"/>
          <w:i/>
          <w:sz w:val="24"/>
          <w:szCs w:val="24"/>
        </w:rPr>
        <w:t>Endowed</w:t>
      </w:r>
      <w:r w:rsidR="00680DD3" w:rsidRPr="00DD6FAC">
        <w:rPr>
          <w:rFonts w:ascii="Times New Roman" w:hAnsi="Times New Roman"/>
          <w:sz w:val="24"/>
          <w:szCs w:val="24"/>
        </w:rPr>
        <w:t>,” “</w:t>
      </w:r>
      <w:r w:rsidR="00680DD3" w:rsidRPr="00DD6FAC">
        <w:rPr>
          <w:rFonts w:ascii="Times New Roman" w:hAnsi="Times New Roman"/>
          <w:i/>
          <w:sz w:val="24"/>
          <w:szCs w:val="24"/>
        </w:rPr>
        <w:t>Entrepreneurs</w:t>
      </w:r>
      <w:r w:rsidR="00680DD3" w:rsidRPr="00DD6FAC">
        <w:rPr>
          <w:rFonts w:ascii="Times New Roman" w:hAnsi="Times New Roman"/>
          <w:sz w:val="24"/>
          <w:szCs w:val="24"/>
        </w:rPr>
        <w:t>,” “</w:t>
      </w:r>
      <w:r w:rsidR="00680DD3" w:rsidRPr="00DD6FAC">
        <w:rPr>
          <w:rFonts w:ascii="Times New Roman" w:hAnsi="Times New Roman"/>
          <w:i/>
          <w:sz w:val="24"/>
          <w:szCs w:val="24"/>
        </w:rPr>
        <w:t>Executives</w:t>
      </w:r>
      <w:r w:rsidR="00680DD3" w:rsidRPr="00DD6FAC">
        <w:rPr>
          <w:rFonts w:ascii="Times New Roman" w:hAnsi="Times New Roman"/>
          <w:sz w:val="24"/>
          <w:szCs w:val="24"/>
        </w:rPr>
        <w:t>,” and a new segment in the form of “</w:t>
      </w:r>
      <w:r w:rsidR="00680DD3" w:rsidRPr="00DD6FAC">
        <w:rPr>
          <w:rFonts w:ascii="Times New Roman" w:hAnsi="Times New Roman"/>
          <w:i/>
          <w:sz w:val="24"/>
          <w:szCs w:val="24"/>
        </w:rPr>
        <w:t>Entertainers</w:t>
      </w:r>
      <w:r w:rsidR="00866AD9" w:rsidRPr="00DD6FAC">
        <w:rPr>
          <w:rFonts w:ascii="Times New Roman" w:hAnsi="Times New Roman"/>
          <w:sz w:val="24"/>
          <w:szCs w:val="24"/>
        </w:rPr>
        <w:t>,</w:t>
      </w:r>
      <w:r w:rsidR="00680DD3" w:rsidRPr="00DD6FAC">
        <w:rPr>
          <w:rFonts w:ascii="Times New Roman" w:hAnsi="Times New Roman"/>
          <w:sz w:val="24"/>
          <w:szCs w:val="24"/>
        </w:rPr>
        <w:t xml:space="preserve">” </w:t>
      </w:r>
      <w:r w:rsidR="00866AD9" w:rsidRPr="00DD6FAC">
        <w:rPr>
          <w:rFonts w:ascii="Times New Roman" w:hAnsi="Times New Roman"/>
          <w:sz w:val="24"/>
          <w:szCs w:val="24"/>
        </w:rPr>
        <w:t xml:space="preserve">with three of </w:t>
      </w:r>
      <w:r w:rsidR="00680DD3" w:rsidRPr="00DD6FAC">
        <w:rPr>
          <w:rFonts w:ascii="Times New Roman" w:hAnsi="Times New Roman"/>
          <w:sz w:val="24"/>
          <w:szCs w:val="24"/>
        </w:rPr>
        <w:t xml:space="preserve">the </w:t>
      </w:r>
      <w:r w:rsidR="00866AD9" w:rsidRPr="00DD6FAC">
        <w:rPr>
          <w:rFonts w:ascii="Times New Roman" w:hAnsi="Times New Roman"/>
          <w:sz w:val="24"/>
          <w:szCs w:val="24"/>
        </w:rPr>
        <w:t xml:space="preserve">segments </w:t>
      </w:r>
      <w:r w:rsidR="00316752" w:rsidRPr="00DD6FAC">
        <w:rPr>
          <w:rFonts w:ascii="Times New Roman" w:hAnsi="Times New Roman"/>
          <w:sz w:val="24"/>
          <w:szCs w:val="24"/>
        </w:rPr>
        <w:t xml:space="preserve">common to the </w:t>
      </w:r>
      <w:r w:rsidR="00680DD3" w:rsidRPr="00DD6FAC">
        <w:rPr>
          <w:rFonts w:ascii="Times New Roman" w:hAnsi="Times New Roman"/>
          <w:sz w:val="24"/>
          <w:szCs w:val="24"/>
        </w:rPr>
        <w:t>Normura categories.</w:t>
      </w:r>
      <w:r w:rsidR="00866AD9" w:rsidRPr="00DD6FAC">
        <w:rPr>
          <w:rFonts w:ascii="Times New Roman" w:hAnsi="Times New Roman"/>
          <w:sz w:val="24"/>
          <w:szCs w:val="24"/>
        </w:rPr>
        <w:t xml:space="preserve">  </w:t>
      </w:r>
      <w:r w:rsidR="00D325F8" w:rsidRPr="00DD6FAC">
        <w:rPr>
          <w:rFonts w:ascii="Times New Roman" w:hAnsi="Times New Roman"/>
          <w:sz w:val="24"/>
          <w:szCs w:val="24"/>
        </w:rPr>
        <w:t xml:space="preserve">With </w:t>
      </w:r>
      <w:r w:rsidR="00680DD3" w:rsidRPr="00DD6FAC">
        <w:rPr>
          <w:rFonts w:ascii="Times New Roman" w:hAnsi="Times New Roman"/>
          <w:sz w:val="24"/>
          <w:szCs w:val="24"/>
        </w:rPr>
        <w:t xml:space="preserve">these new </w:t>
      </w:r>
      <w:r w:rsidR="00E24055" w:rsidRPr="00DD6FAC">
        <w:rPr>
          <w:rFonts w:ascii="Times New Roman" w:hAnsi="Times New Roman"/>
          <w:sz w:val="24"/>
          <w:szCs w:val="24"/>
        </w:rPr>
        <w:t>label</w:t>
      </w:r>
      <w:r w:rsidR="00680DD3" w:rsidRPr="00DD6FAC">
        <w:rPr>
          <w:rFonts w:ascii="Times New Roman" w:hAnsi="Times New Roman"/>
          <w:sz w:val="24"/>
          <w:szCs w:val="24"/>
        </w:rPr>
        <w:t>s</w:t>
      </w:r>
      <w:r w:rsidR="00E24055" w:rsidRPr="00DD6FAC">
        <w:rPr>
          <w:rFonts w:ascii="Times New Roman" w:hAnsi="Times New Roman"/>
          <w:sz w:val="24"/>
          <w:szCs w:val="24"/>
        </w:rPr>
        <w:t xml:space="preserve"> used </w:t>
      </w:r>
      <w:r w:rsidR="00D325F8" w:rsidRPr="00DD6FAC">
        <w:rPr>
          <w:rFonts w:ascii="Times New Roman" w:hAnsi="Times New Roman"/>
          <w:sz w:val="24"/>
          <w:szCs w:val="24"/>
        </w:rPr>
        <w:t xml:space="preserve">in the </w:t>
      </w:r>
      <w:r w:rsidR="00680DD3" w:rsidRPr="00DD6FAC">
        <w:rPr>
          <w:rFonts w:ascii="Times New Roman" w:hAnsi="Times New Roman"/>
          <w:sz w:val="24"/>
          <w:szCs w:val="24"/>
        </w:rPr>
        <w:t xml:space="preserve">both the </w:t>
      </w:r>
      <w:r w:rsidR="00D325F8" w:rsidRPr="00DD6FAC">
        <w:rPr>
          <w:rFonts w:ascii="Times New Roman" w:hAnsi="Times New Roman"/>
          <w:sz w:val="24"/>
          <w:szCs w:val="24"/>
        </w:rPr>
        <w:t xml:space="preserve">framework by </w:t>
      </w:r>
      <w:r w:rsidR="00E24055" w:rsidRPr="00DD6FAC">
        <w:rPr>
          <w:rFonts w:ascii="Times New Roman" w:hAnsi="Times New Roman"/>
          <w:sz w:val="24"/>
          <w:szCs w:val="24"/>
        </w:rPr>
        <w:t>Coutts</w:t>
      </w:r>
      <w:r w:rsidR="00680DD3" w:rsidRPr="00DD6FAC">
        <w:rPr>
          <w:rFonts w:ascii="Times New Roman" w:hAnsi="Times New Roman"/>
          <w:sz w:val="24"/>
          <w:szCs w:val="24"/>
        </w:rPr>
        <w:t>,</w:t>
      </w:r>
      <w:r w:rsidR="00E24055" w:rsidRPr="00DD6FAC">
        <w:rPr>
          <w:rFonts w:ascii="Times New Roman" w:hAnsi="Times New Roman"/>
          <w:sz w:val="24"/>
          <w:szCs w:val="24"/>
        </w:rPr>
        <w:t xml:space="preserve"> based in the UK</w:t>
      </w:r>
      <w:r w:rsidR="00D325F8" w:rsidRPr="00DD6FAC">
        <w:rPr>
          <w:rFonts w:ascii="Times New Roman" w:hAnsi="Times New Roman"/>
          <w:sz w:val="24"/>
          <w:szCs w:val="24"/>
        </w:rPr>
        <w:t>,</w:t>
      </w:r>
      <w:r w:rsidR="00680DD3" w:rsidRPr="00DD6FAC">
        <w:rPr>
          <w:rFonts w:ascii="Times New Roman" w:hAnsi="Times New Roman"/>
          <w:sz w:val="24"/>
          <w:szCs w:val="24"/>
        </w:rPr>
        <w:t xml:space="preserve"> and Nomura, a bank from Japan, </w:t>
      </w:r>
      <w:r w:rsidR="00866AD9" w:rsidRPr="00DD6FAC">
        <w:rPr>
          <w:rFonts w:ascii="Times New Roman" w:hAnsi="Times New Roman"/>
          <w:sz w:val="24"/>
          <w:szCs w:val="24"/>
        </w:rPr>
        <w:t xml:space="preserve">the 4Es model by Chung </w:t>
      </w:r>
      <w:r w:rsidR="009F04A4">
        <w:rPr>
          <w:rFonts w:ascii="Times New Roman" w:hAnsi="Times New Roman"/>
          <w:sz w:val="24"/>
          <w:szCs w:val="24"/>
        </w:rPr>
        <w:t>et al.</w:t>
      </w:r>
      <w:r w:rsidR="00866AD9" w:rsidRPr="00DD6FAC">
        <w:rPr>
          <w:rFonts w:ascii="Times New Roman" w:hAnsi="Times New Roman"/>
          <w:sz w:val="24"/>
          <w:szCs w:val="24"/>
        </w:rPr>
        <w:t xml:space="preserve"> (2014) </w:t>
      </w:r>
      <w:r w:rsidR="00D325F8" w:rsidRPr="00DD6FAC">
        <w:rPr>
          <w:rFonts w:ascii="Times New Roman" w:hAnsi="Times New Roman"/>
          <w:sz w:val="24"/>
          <w:szCs w:val="24"/>
        </w:rPr>
        <w:t>effectively synthesize</w:t>
      </w:r>
      <w:r w:rsidR="00680DD3" w:rsidRPr="00DD6FAC">
        <w:rPr>
          <w:rFonts w:ascii="Times New Roman" w:hAnsi="Times New Roman"/>
          <w:sz w:val="24"/>
          <w:szCs w:val="24"/>
        </w:rPr>
        <w:t>d</w:t>
      </w:r>
      <w:r w:rsidR="00D325F8" w:rsidRPr="00DD6FAC">
        <w:rPr>
          <w:rFonts w:ascii="Times New Roman" w:hAnsi="Times New Roman"/>
          <w:sz w:val="24"/>
          <w:szCs w:val="24"/>
        </w:rPr>
        <w:t xml:space="preserve"> the two systems from different region and culture</w:t>
      </w:r>
      <w:r w:rsidR="00680DD3" w:rsidRPr="00DD6FAC">
        <w:rPr>
          <w:rFonts w:ascii="Times New Roman" w:hAnsi="Times New Roman"/>
          <w:sz w:val="24"/>
          <w:szCs w:val="24"/>
        </w:rPr>
        <w:t xml:space="preserve"> into one</w:t>
      </w:r>
      <w:r w:rsidR="00E24055" w:rsidRPr="00DD6FAC">
        <w:rPr>
          <w:rFonts w:ascii="Times New Roman" w:hAnsi="Times New Roman"/>
          <w:sz w:val="24"/>
          <w:szCs w:val="24"/>
        </w:rPr>
        <w:t xml:space="preserve">.  </w:t>
      </w:r>
    </w:p>
    <w:p w:rsidR="00E24055" w:rsidRPr="00DD6FAC" w:rsidRDefault="00E24055" w:rsidP="00DD6FAC">
      <w:pPr>
        <w:spacing w:line="480" w:lineRule="auto"/>
        <w:jc w:val="both"/>
        <w:rPr>
          <w:rFonts w:ascii="Times New Roman" w:hAnsi="Times New Roman"/>
          <w:sz w:val="24"/>
          <w:szCs w:val="24"/>
        </w:rPr>
      </w:pPr>
      <w:r w:rsidRPr="00DD6FAC">
        <w:rPr>
          <w:rFonts w:ascii="Times New Roman" w:hAnsi="Times New Roman"/>
          <w:sz w:val="24"/>
          <w:szCs w:val="24"/>
        </w:rPr>
        <w:lastRenderedPageBreak/>
        <w:t xml:space="preserve">Finally, in the </w:t>
      </w:r>
      <w:r w:rsidR="00E17E52" w:rsidRPr="00DD6FAC">
        <w:rPr>
          <w:rFonts w:ascii="Times New Roman" w:hAnsi="Times New Roman"/>
          <w:sz w:val="24"/>
          <w:szCs w:val="24"/>
        </w:rPr>
        <w:t xml:space="preserve">Boston Consulting Group </w:t>
      </w:r>
      <w:r w:rsidRPr="00DD6FAC">
        <w:rPr>
          <w:rFonts w:ascii="Times New Roman" w:hAnsi="Times New Roman"/>
          <w:sz w:val="24"/>
          <w:szCs w:val="24"/>
        </w:rPr>
        <w:t>classification, they have “</w:t>
      </w:r>
      <w:r w:rsidRPr="00DD6FAC">
        <w:rPr>
          <w:rFonts w:ascii="Times New Roman" w:hAnsi="Times New Roman"/>
          <w:i/>
          <w:sz w:val="24"/>
          <w:szCs w:val="24"/>
        </w:rPr>
        <w:t>entrepreneurs</w:t>
      </w:r>
      <w:r w:rsidRPr="00DD6FAC">
        <w:rPr>
          <w:rFonts w:ascii="Times New Roman" w:hAnsi="Times New Roman"/>
          <w:sz w:val="24"/>
          <w:szCs w:val="24"/>
        </w:rPr>
        <w:t xml:space="preserve">,” which is in the </w:t>
      </w:r>
      <w:r w:rsidR="00866AD9" w:rsidRPr="00DD6FAC">
        <w:rPr>
          <w:rFonts w:ascii="Times New Roman" w:hAnsi="Times New Roman"/>
          <w:sz w:val="24"/>
          <w:szCs w:val="24"/>
        </w:rPr>
        <w:t xml:space="preserve">4Es segmentation </w:t>
      </w:r>
      <w:r w:rsidR="00E17E52" w:rsidRPr="00DD6FAC">
        <w:rPr>
          <w:rFonts w:ascii="Times New Roman" w:hAnsi="Times New Roman"/>
          <w:sz w:val="24"/>
          <w:szCs w:val="24"/>
        </w:rPr>
        <w:t>system</w:t>
      </w:r>
      <w:r w:rsidRPr="00DD6FAC">
        <w:rPr>
          <w:rFonts w:ascii="Times New Roman" w:hAnsi="Times New Roman"/>
          <w:sz w:val="24"/>
          <w:szCs w:val="24"/>
        </w:rPr>
        <w:t xml:space="preserve">.  Their “professional managers” are clearly </w:t>
      </w:r>
      <w:r w:rsidR="00E17E52" w:rsidRPr="00DD6FAC">
        <w:rPr>
          <w:rFonts w:ascii="Times New Roman" w:hAnsi="Times New Roman"/>
          <w:sz w:val="24"/>
          <w:szCs w:val="24"/>
        </w:rPr>
        <w:t>“</w:t>
      </w:r>
      <w:r w:rsidRPr="00DD6FAC">
        <w:rPr>
          <w:rFonts w:ascii="Times New Roman" w:hAnsi="Times New Roman"/>
          <w:i/>
          <w:sz w:val="24"/>
          <w:szCs w:val="24"/>
        </w:rPr>
        <w:t>Executives</w:t>
      </w:r>
      <w:r w:rsidR="00E17E52" w:rsidRPr="00DD6FAC">
        <w:rPr>
          <w:rFonts w:ascii="Times New Roman" w:hAnsi="Times New Roman"/>
          <w:sz w:val="24"/>
          <w:szCs w:val="24"/>
        </w:rPr>
        <w:t>,” who are senior managers of organizations.  The</w:t>
      </w:r>
      <w:r w:rsidRPr="00DD6FAC">
        <w:rPr>
          <w:rFonts w:ascii="Times New Roman" w:hAnsi="Times New Roman"/>
          <w:sz w:val="24"/>
          <w:szCs w:val="24"/>
        </w:rPr>
        <w:t xml:space="preserve"> “</w:t>
      </w:r>
      <w:r w:rsidR="00E17E52" w:rsidRPr="00DD6FAC">
        <w:rPr>
          <w:rFonts w:ascii="Times New Roman" w:hAnsi="Times New Roman"/>
          <w:sz w:val="24"/>
          <w:szCs w:val="24"/>
        </w:rPr>
        <w:t>o</w:t>
      </w:r>
      <w:r w:rsidRPr="00DD6FAC">
        <w:rPr>
          <w:rFonts w:ascii="Times New Roman" w:hAnsi="Times New Roman"/>
          <w:sz w:val="24"/>
          <w:szCs w:val="24"/>
        </w:rPr>
        <w:t xml:space="preserve">ther professionals” </w:t>
      </w:r>
      <w:r w:rsidR="00E17E52" w:rsidRPr="00DD6FAC">
        <w:rPr>
          <w:rFonts w:ascii="Times New Roman" w:hAnsi="Times New Roman"/>
          <w:sz w:val="24"/>
          <w:szCs w:val="24"/>
        </w:rPr>
        <w:t xml:space="preserve">category </w:t>
      </w:r>
      <w:r w:rsidRPr="00DD6FAC">
        <w:rPr>
          <w:rFonts w:ascii="Times New Roman" w:hAnsi="Times New Roman"/>
          <w:sz w:val="24"/>
          <w:szCs w:val="24"/>
        </w:rPr>
        <w:t xml:space="preserve">in the </w:t>
      </w:r>
      <w:r w:rsidR="00E17E52" w:rsidRPr="00DD6FAC">
        <w:rPr>
          <w:rFonts w:ascii="Times New Roman" w:hAnsi="Times New Roman"/>
          <w:sz w:val="24"/>
          <w:szCs w:val="24"/>
        </w:rPr>
        <w:t>Boston Consulting Group model are professionals s</w:t>
      </w:r>
      <w:r w:rsidRPr="00DD6FAC">
        <w:rPr>
          <w:rFonts w:ascii="Times New Roman" w:hAnsi="Times New Roman"/>
          <w:sz w:val="24"/>
          <w:szCs w:val="24"/>
        </w:rPr>
        <w:t xml:space="preserve">uch as medical doctors and lawyers, as argued before, depending on the nature of their source of wealth, </w:t>
      </w:r>
      <w:r w:rsidR="00E17E52" w:rsidRPr="00DD6FAC">
        <w:rPr>
          <w:rFonts w:ascii="Times New Roman" w:hAnsi="Times New Roman"/>
          <w:sz w:val="24"/>
          <w:szCs w:val="24"/>
        </w:rPr>
        <w:t xml:space="preserve">they </w:t>
      </w:r>
      <w:r w:rsidR="00866AD9" w:rsidRPr="00DD6FAC">
        <w:rPr>
          <w:rFonts w:ascii="Times New Roman" w:hAnsi="Times New Roman"/>
          <w:sz w:val="24"/>
          <w:szCs w:val="24"/>
        </w:rPr>
        <w:t xml:space="preserve">can </w:t>
      </w:r>
      <w:r w:rsidRPr="00DD6FAC">
        <w:rPr>
          <w:rFonts w:ascii="Times New Roman" w:hAnsi="Times New Roman"/>
          <w:sz w:val="24"/>
          <w:szCs w:val="24"/>
        </w:rPr>
        <w:t>either</w:t>
      </w:r>
      <w:r w:rsidR="00866AD9" w:rsidRPr="00DD6FAC">
        <w:rPr>
          <w:rFonts w:ascii="Times New Roman" w:hAnsi="Times New Roman"/>
          <w:sz w:val="24"/>
          <w:szCs w:val="24"/>
        </w:rPr>
        <w:t xml:space="preserve"> be</w:t>
      </w:r>
      <w:r w:rsidRPr="00DD6FAC">
        <w:rPr>
          <w:rFonts w:ascii="Times New Roman" w:hAnsi="Times New Roman"/>
          <w:sz w:val="24"/>
          <w:szCs w:val="24"/>
        </w:rPr>
        <w:t xml:space="preserve"> </w:t>
      </w:r>
      <w:r w:rsidRPr="00DD6FAC">
        <w:rPr>
          <w:rFonts w:ascii="Times New Roman" w:hAnsi="Times New Roman"/>
          <w:i/>
          <w:sz w:val="24"/>
          <w:szCs w:val="24"/>
        </w:rPr>
        <w:t>Executives</w:t>
      </w:r>
      <w:r w:rsidRPr="00DD6FAC">
        <w:rPr>
          <w:rFonts w:ascii="Times New Roman" w:hAnsi="Times New Roman"/>
          <w:sz w:val="24"/>
          <w:szCs w:val="24"/>
        </w:rPr>
        <w:t xml:space="preserve"> (if they are employed by an organization,) or </w:t>
      </w:r>
      <w:r w:rsidRPr="00DD6FAC">
        <w:rPr>
          <w:rFonts w:ascii="Times New Roman" w:hAnsi="Times New Roman"/>
          <w:i/>
          <w:sz w:val="24"/>
          <w:szCs w:val="24"/>
        </w:rPr>
        <w:t>Entrepreneurs</w:t>
      </w:r>
      <w:r w:rsidRPr="00DD6FAC">
        <w:rPr>
          <w:rFonts w:ascii="Times New Roman" w:hAnsi="Times New Roman"/>
          <w:sz w:val="24"/>
          <w:szCs w:val="24"/>
        </w:rPr>
        <w:t xml:space="preserve"> (if they are self-employed.)  </w:t>
      </w:r>
      <w:r w:rsidR="00E17E52" w:rsidRPr="00DD6FAC">
        <w:rPr>
          <w:rFonts w:ascii="Times New Roman" w:hAnsi="Times New Roman"/>
          <w:sz w:val="24"/>
          <w:szCs w:val="24"/>
        </w:rPr>
        <w:t>“</w:t>
      </w:r>
      <w:r w:rsidRPr="00DD6FAC">
        <w:rPr>
          <w:rFonts w:ascii="Times New Roman" w:hAnsi="Times New Roman"/>
          <w:sz w:val="24"/>
          <w:szCs w:val="24"/>
        </w:rPr>
        <w:t>Investment professionals</w:t>
      </w:r>
      <w:r w:rsidR="00E17E52" w:rsidRPr="00DD6FAC">
        <w:rPr>
          <w:rFonts w:ascii="Times New Roman" w:hAnsi="Times New Roman"/>
          <w:sz w:val="24"/>
          <w:szCs w:val="24"/>
        </w:rPr>
        <w:t>”</w:t>
      </w:r>
      <w:r w:rsidRPr="00DD6FAC">
        <w:rPr>
          <w:rFonts w:ascii="Times New Roman" w:hAnsi="Times New Roman"/>
          <w:sz w:val="24"/>
          <w:szCs w:val="24"/>
        </w:rPr>
        <w:t xml:space="preserve"> in the </w:t>
      </w:r>
      <w:r w:rsidR="00E17E52" w:rsidRPr="00DD6FAC">
        <w:rPr>
          <w:rFonts w:ascii="Times New Roman" w:hAnsi="Times New Roman"/>
          <w:sz w:val="24"/>
          <w:szCs w:val="24"/>
        </w:rPr>
        <w:t xml:space="preserve">Boston Consulting Group model </w:t>
      </w:r>
      <w:r w:rsidRPr="00DD6FAC">
        <w:rPr>
          <w:rFonts w:ascii="Times New Roman" w:hAnsi="Times New Roman"/>
          <w:sz w:val="24"/>
          <w:szCs w:val="24"/>
        </w:rPr>
        <w:t xml:space="preserve">can </w:t>
      </w:r>
      <w:r w:rsidR="00866AD9" w:rsidRPr="00DD6FAC">
        <w:rPr>
          <w:rFonts w:ascii="Times New Roman" w:hAnsi="Times New Roman"/>
          <w:sz w:val="24"/>
          <w:szCs w:val="24"/>
        </w:rPr>
        <w:t xml:space="preserve">be segmented </w:t>
      </w:r>
      <w:r w:rsidRPr="00DD6FAC">
        <w:rPr>
          <w:rFonts w:ascii="Times New Roman" w:hAnsi="Times New Roman"/>
          <w:sz w:val="24"/>
          <w:szCs w:val="24"/>
        </w:rPr>
        <w:t xml:space="preserve">to the </w:t>
      </w:r>
      <w:r w:rsidRPr="00DD6FAC">
        <w:rPr>
          <w:rFonts w:ascii="Times New Roman" w:hAnsi="Times New Roman"/>
          <w:i/>
          <w:sz w:val="24"/>
          <w:szCs w:val="24"/>
        </w:rPr>
        <w:t>Entrepreneurs</w:t>
      </w:r>
      <w:r w:rsidRPr="00DD6FAC">
        <w:rPr>
          <w:rFonts w:ascii="Times New Roman" w:hAnsi="Times New Roman"/>
          <w:sz w:val="24"/>
          <w:szCs w:val="24"/>
        </w:rPr>
        <w:t xml:space="preserve"> category.  Finally, “</w:t>
      </w:r>
      <w:r w:rsidRPr="00DD6FAC">
        <w:rPr>
          <w:rFonts w:ascii="Times New Roman" w:hAnsi="Times New Roman"/>
          <w:i/>
          <w:sz w:val="24"/>
          <w:szCs w:val="24"/>
        </w:rPr>
        <w:t>Housewives</w:t>
      </w:r>
      <w:r w:rsidRPr="00DD6FAC">
        <w:rPr>
          <w:rFonts w:ascii="Times New Roman" w:hAnsi="Times New Roman"/>
          <w:sz w:val="24"/>
          <w:szCs w:val="24"/>
        </w:rPr>
        <w:t xml:space="preserve">,” as the BCG label suggested, probably derived their source of wealth from the husband, who are in one of the </w:t>
      </w:r>
      <w:r w:rsidR="00866AD9" w:rsidRPr="00DD6FAC">
        <w:rPr>
          <w:rFonts w:ascii="Times New Roman" w:hAnsi="Times New Roman"/>
          <w:sz w:val="24"/>
          <w:szCs w:val="24"/>
        </w:rPr>
        <w:t xml:space="preserve">prior </w:t>
      </w:r>
      <w:r w:rsidRPr="00DD6FAC">
        <w:rPr>
          <w:rFonts w:ascii="Times New Roman" w:hAnsi="Times New Roman"/>
          <w:sz w:val="24"/>
          <w:szCs w:val="24"/>
        </w:rPr>
        <w:t xml:space="preserve">categories mentioned before.  </w:t>
      </w:r>
      <w:r w:rsidR="00E17E52" w:rsidRPr="00DD6FAC">
        <w:rPr>
          <w:rFonts w:ascii="Times New Roman" w:hAnsi="Times New Roman"/>
          <w:sz w:val="24"/>
          <w:szCs w:val="24"/>
        </w:rPr>
        <w:t xml:space="preserve">In sum, the categories in the Boston Consulting Group framework can all be nicely classified into the </w:t>
      </w:r>
      <w:r w:rsidR="00866AD9" w:rsidRPr="00DD6FAC">
        <w:rPr>
          <w:rFonts w:ascii="Times New Roman" w:hAnsi="Times New Roman"/>
          <w:sz w:val="24"/>
          <w:szCs w:val="24"/>
        </w:rPr>
        <w:t xml:space="preserve">4Es </w:t>
      </w:r>
      <w:r w:rsidR="00E17E52" w:rsidRPr="00DD6FAC">
        <w:rPr>
          <w:rFonts w:ascii="Times New Roman" w:hAnsi="Times New Roman"/>
          <w:sz w:val="24"/>
          <w:szCs w:val="24"/>
        </w:rPr>
        <w:t>segment</w:t>
      </w:r>
      <w:r w:rsidR="00866AD9" w:rsidRPr="00DD6FAC">
        <w:rPr>
          <w:rFonts w:ascii="Times New Roman" w:hAnsi="Times New Roman"/>
          <w:sz w:val="24"/>
          <w:szCs w:val="24"/>
        </w:rPr>
        <w:t>ation system</w:t>
      </w:r>
      <w:r w:rsidR="00E17E52" w:rsidRPr="00DD6FAC">
        <w:rPr>
          <w:rFonts w:ascii="Times New Roman" w:hAnsi="Times New Roman"/>
          <w:sz w:val="24"/>
          <w:szCs w:val="24"/>
        </w:rPr>
        <w:t xml:space="preserve"> proposed</w:t>
      </w:r>
      <w:r w:rsidR="00866AD9" w:rsidRPr="00DD6FAC">
        <w:rPr>
          <w:rFonts w:ascii="Times New Roman" w:hAnsi="Times New Roman"/>
          <w:sz w:val="24"/>
          <w:szCs w:val="24"/>
        </w:rPr>
        <w:t>.</w:t>
      </w:r>
    </w:p>
    <w:p w:rsidR="00E24055" w:rsidRPr="00DD6FAC" w:rsidRDefault="00866AD9" w:rsidP="00DD6FAC">
      <w:pPr>
        <w:spacing w:line="480" w:lineRule="auto"/>
        <w:jc w:val="both"/>
        <w:rPr>
          <w:rFonts w:ascii="Times New Roman" w:hAnsi="Times New Roman"/>
          <w:sz w:val="24"/>
          <w:szCs w:val="24"/>
        </w:rPr>
      </w:pPr>
      <w:r w:rsidRPr="00DD6FAC">
        <w:rPr>
          <w:rFonts w:ascii="Times New Roman" w:hAnsi="Times New Roman"/>
          <w:sz w:val="24"/>
          <w:szCs w:val="24"/>
        </w:rPr>
        <w:t xml:space="preserve">The significance of the unified 4Es segmentation </w:t>
      </w:r>
      <w:r w:rsidR="00E24055" w:rsidRPr="00DD6FAC">
        <w:rPr>
          <w:rFonts w:ascii="Times New Roman" w:hAnsi="Times New Roman"/>
          <w:sz w:val="24"/>
          <w:szCs w:val="24"/>
        </w:rPr>
        <w:t>system</w:t>
      </w:r>
      <w:r w:rsidRPr="00DD6FAC">
        <w:rPr>
          <w:rFonts w:ascii="Times New Roman" w:hAnsi="Times New Roman"/>
          <w:sz w:val="24"/>
          <w:szCs w:val="24"/>
        </w:rPr>
        <w:t xml:space="preserve"> is that it </w:t>
      </w:r>
      <w:r w:rsidR="00EA464F" w:rsidRPr="00DD6FAC">
        <w:rPr>
          <w:rFonts w:ascii="Times New Roman" w:hAnsi="Times New Roman"/>
          <w:sz w:val="24"/>
          <w:szCs w:val="24"/>
        </w:rPr>
        <w:t xml:space="preserve">represents </w:t>
      </w:r>
      <w:r w:rsidR="00EA464F" w:rsidRPr="00DD6FAC">
        <w:rPr>
          <w:rFonts w:ascii="Times New Roman" w:eastAsia="Times New Roman" w:hAnsi="Times New Roman"/>
          <w:sz w:val="24"/>
          <w:szCs w:val="24"/>
        </w:rPr>
        <w:t>a powerful tool to analyze the behavior of different groups of private banking clients</w:t>
      </w:r>
      <w:r w:rsidR="00EA464F" w:rsidRPr="00DD6FAC">
        <w:rPr>
          <w:rFonts w:ascii="Times New Roman" w:hAnsi="Times New Roman"/>
          <w:sz w:val="24"/>
          <w:szCs w:val="24"/>
        </w:rPr>
        <w:t xml:space="preserve"> </w:t>
      </w:r>
      <w:r w:rsidR="00D96BF6" w:rsidRPr="00DD6FAC">
        <w:rPr>
          <w:rFonts w:ascii="Times New Roman" w:hAnsi="Times New Roman"/>
          <w:sz w:val="24"/>
          <w:szCs w:val="24"/>
        </w:rPr>
        <w:t xml:space="preserve">beyond </w:t>
      </w:r>
      <w:r w:rsidR="00E24055" w:rsidRPr="00DD6FAC">
        <w:rPr>
          <w:rFonts w:ascii="Times New Roman" w:hAnsi="Times New Roman"/>
          <w:sz w:val="24"/>
          <w:szCs w:val="24"/>
        </w:rPr>
        <w:t>the “old-money” versus “new-money” dichotomy</w:t>
      </w:r>
      <w:r w:rsidR="00EA464F" w:rsidRPr="00DD6FAC">
        <w:rPr>
          <w:rFonts w:ascii="Times New Roman" w:hAnsi="Times New Roman"/>
          <w:sz w:val="24"/>
          <w:szCs w:val="24"/>
        </w:rPr>
        <w:t xml:space="preserve">.  </w:t>
      </w:r>
      <w:r w:rsidR="00E24055" w:rsidRPr="00DD6FAC">
        <w:rPr>
          <w:rFonts w:ascii="Times New Roman" w:hAnsi="Times New Roman"/>
          <w:sz w:val="24"/>
          <w:szCs w:val="24"/>
        </w:rPr>
        <w:t>In fact, other than the “</w:t>
      </w:r>
      <w:r w:rsidR="00E24055" w:rsidRPr="00DD6FAC">
        <w:rPr>
          <w:rFonts w:ascii="Times New Roman" w:hAnsi="Times New Roman"/>
          <w:i/>
          <w:sz w:val="24"/>
          <w:szCs w:val="24"/>
        </w:rPr>
        <w:t>Endowed</w:t>
      </w:r>
      <w:r w:rsidR="00E24055" w:rsidRPr="00DD6FAC">
        <w:rPr>
          <w:rFonts w:ascii="Times New Roman" w:hAnsi="Times New Roman"/>
          <w:sz w:val="24"/>
          <w:szCs w:val="24"/>
        </w:rPr>
        <w:t xml:space="preserve">,” the other three categories are all first generation wealth.  </w:t>
      </w:r>
      <w:r w:rsidR="00EA464F" w:rsidRPr="00DD6FAC">
        <w:rPr>
          <w:rFonts w:ascii="Times New Roman" w:hAnsi="Times New Roman"/>
          <w:sz w:val="24"/>
          <w:szCs w:val="24"/>
        </w:rPr>
        <w:t xml:space="preserve">The 4Es model is also superior to the current “level-of-wealth” approach.  The 4Es model is also superior to the current “level-of-wealth” approach.  </w:t>
      </w:r>
      <w:r w:rsidR="00E24055" w:rsidRPr="00DD6FAC">
        <w:rPr>
          <w:rFonts w:ascii="Times New Roman" w:hAnsi="Times New Roman"/>
          <w:sz w:val="24"/>
          <w:szCs w:val="24"/>
        </w:rPr>
        <w:t xml:space="preserve">The </w:t>
      </w:r>
      <w:r w:rsidR="00EA464F" w:rsidRPr="00DD6FAC">
        <w:rPr>
          <w:rFonts w:ascii="Times New Roman" w:hAnsi="Times New Roman"/>
          <w:sz w:val="24"/>
          <w:szCs w:val="24"/>
        </w:rPr>
        <w:t xml:space="preserve">4Es segmentation system in relations to </w:t>
      </w:r>
      <w:r w:rsidR="00422E9B" w:rsidRPr="00DD6FAC">
        <w:rPr>
          <w:rFonts w:ascii="Times New Roman" w:hAnsi="Times New Roman"/>
          <w:sz w:val="24"/>
          <w:szCs w:val="24"/>
        </w:rPr>
        <w:t>prior classification</w:t>
      </w:r>
      <w:r w:rsidR="00D96BF6" w:rsidRPr="00DD6FAC">
        <w:rPr>
          <w:rFonts w:ascii="Times New Roman" w:hAnsi="Times New Roman"/>
          <w:sz w:val="24"/>
          <w:szCs w:val="24"/>
        </w:rPr>
        <w:t xml:space="preserve"> systems is displayed in Table 1</w:t>
      </w:r>
      <w:r w:rsidR="00E24055" w:rsidRPr="00DD6FAC">
        <w:rPr>
          <w:rFonts w:ascii="Times New Roman" w:hAnsi="Times New Roman"/>
          <w:sz w:val="24"/>
          <w:szCs w:val="24"/>
        </w:rPr>
        <w:t xml:space="preserve">. </w:t>
      </w:r>
    </w:p>
    <w:p w:rsidR="008621D7" w:rsidRPr="00DD6FAC" w:rsidRDefault="00D96BF6" w:rsidP="00DD6FAC">
      <w:pPr>
        <w:spacing w:line="480" w:lineRule="auto"/>
        <w:jc w:val="both"/>
        <w:rPr>
          <w:rFonts w:ascii="Times New Roman" w:hAnsi="Times New Roman"/>
          <w:sz w:val="24"/>
          <w:szCs w:val="24"/>
        </w:rPr>
      </w:pPr>
      <w:r w:rsidRPr="00DD6FAC">
        <w:rPr>
          <w:rFonts w:ascii="Times New Roman" w:eastAsia="Times New Roman" w:hAnsi="Times New Roman"/>
          <w:sz w:val="24"/>
          <w:szCs w:val="24"/>
        </w:rPr>
        <w:t>While the 4Es segmentation system offers a conceptually attractive framework for analysis</w:t>
      </w:r>
      <w:r w:rsidR="003C7D0F" w:rsidRPr="00DD6FAC">
        <w:rPr>
          <w:rFonts w:ascii="Times New Roman" w:eastAsia="Times New Roman" w:hAnsi="Times New Roman"/>
          <w:sz w:val="24"/>
          <w:szCs w:val="24"/>
        </w:rPr>
        <w:t xml:space="preserve">, it </w:t>
      </w:r>
      <w:r w:rsidRPr="00DD6FAC">
        <w:rPr>
          <w:rFonts w:ascii="Times New Roman" w:eastAsia="Times New Roman" w:hAnsi="Times New Roman"/>
          <w:sz w:val="24"/>
          <w:szCs w:val="24"/>
        </w:rPr>
        <w:t xml:space="preserve">is uncertain whether each of the segments do represent unique </w:t>
      </w:r>
      <w:r w:rsidR="003C7D0F" w:rsidRPr="00DD6FAC">
        <w:rPr>
          <w:rFonts w:ascii="Times New Roman" w:eastAsia="Times New Roman" w:hAnsi="Times New Roman"/>
          <w:sz w:val="24"/>
          <w:szCs w:val="24"/>
        </w:rPr>
        <w:t xml:space="preserve">and distinct </w:t>
      </w:r>
      <w:r w:rsidRPr="00DD6FAC">
        <w:rPr>
          <w:rFonts w:ascii="Times New Roman" w:eastAsia="Times New Roman" w:hAnsi="Times New Roman"/>
          <w:sz w:val="24"/>
          <w:szCs w:val="24"/>
        </w:rPr>
        <w:t>category.</w:t>
      </w:r>
      <w:r w:rsidR="003C7D0F" w:rsidRPr="00DD6FAC">
        <w:rPr>
          <w:rFonts w:ascii="Times New Roman" w:eastAsia="Times New Roman" w:hAnsi="Times New Roman"/>
          <w:sz w:val="24"/>
          <w:szCs w:val="24"/>
        </w:rPr>
        <w:t xml:space="preserve">  This is important as </w:t>
      </w:r>
      <w:r w:rsidR="009A6E46" w:rsidRPr="00DD6FAC">
        <w:rPr>
          <w:rFonts w:ascii="Times New Roman" w:eastAsia="Times New Roman" w:hAnsi="Times New Roman"/>
          <w:sz w:val="24"/>
          <w:szCs w:val="24"/>
        </w:rPr>
        <w:t>overlaps represent redundancy result ineffective segmentation in practice as well as the risk of multicollinearity in statistical analysis.</w:t>
      </w:r>
      <w:r w:rsidRPr="00DD6FAC">
        <w:rPr>
          <w:rFonts w:ascii="Times New Roman" w:eastAsia="Times New Roman" w:hAnsi="Times New Roman"/>
          <w:sz w:val="24"/>
          <w:szCs w:val="24"/>
        </w:rPr>
        <w:t xml:space="preserve">  </w:t>
      </w:r>
      <w:r w:rsidR="003C7D0F" w:rsidRPr="00DD6FAC">
        <w:rPr>
          <w:rFonts w:ascii="Times New Roman" w:eastAsia="Times New Roman" w:hAnsi="Times New Roman"/>
          <w:sz w:val="24"/>
          <w:szCs w:val="24"/>
        </w:rPr>
        <w:t xml:space="preserve">To </w:t>
      </w:r>
      <w:r w:rsidR="003C7D0F" w:rsidRPr="00DD6FAC">
        <w:rPr>
          <w:rFonts w:ascii="Times New Roman" w:eastAsia="Times New Roman" w:hAnsi="Times New Roman"/>
          <w:sz w:val="24"/>
          <w:szCs w:val="24"/>
        </w:rPr>
        <w:lastRenderedPageBreak/>
        <w:t xml:space="preserve">address this, this paper shall </w:t>
      </w:r>
      <w:r w:rsidR="009A6E46" w:rsidRPr="00DD6FAC">
        <w:rPr>
          <w:rFonts w:ascii="Times New Roman" w:eastAsia="Times New Roman" w:hAnsi="Times New Roman"/>
          <w:sz w:val="24"/>
          <w:szCs w:val="24"/>
        </w:rPr>
        <w:t xml:space="preserve">look into </w:t>
      </w:r>
      <w:r w:rsidR="003C7D0F" w:rsidRPr="00DD6FAC">
        <w:rPr>
          <w:rFonts w:ascii="Times New Roman" w:eastAsia="Times New Roman" w:hAnsi="Times New Roman"/>
          <w:sz w:val="24"/>
          <w:szCs w:val="24"/>
        </w:rPr>
        <w:t>a</w:t>
      </w:r>
      <w:r w:rsidR="00C31D9C">
        <w:rPr>
          <w:rFonts w:ascii="Times New Roman" w:eastAsia="Times New Roman" w:hAnsi="Times New Roman"/>
          <w:sz w:val="24"/>
          <w:szCs w:val="24"/>
        </w:rPr>
        <w:t xml:space="preserve"> number of behavioral characteristics</w:t>
      </w:r>
      <w:r w:rsidR="003C7D0F" w:rsidRPr="00DD6FAC">
        <w:rPr>
          <w:rFonts w:ascii="Times New Roman" w:eastAsia="Times New Roman" w:hAnsi="Times New Roman"/>
          <w:sz w:val="24"/>
          <w:szCs w:val="24"/>
        </w:rPr>
        <w:t xml:space="preserve"> proposed by </w:t>
      </w:r>
      <w:r w:rsidR="00E24055" w:rsidRPr="00DD6FAC">
        <w:rPr>
          <w:rFonts w:ascii="Times New Roman" w:eastAsia="Times New Roman" w:hAnsi="Times New Roman"/>
          <w:sz w:val="24"/>
          <w:szCs w:val="24"/>
        </w:rPr>
        <w:t xml:space="preserve">Maude (2006,) </w:t>
      </w:r>
      <w:proofErr w:type="spellStart"/>
      <w:r w:rsidR="00E24055" w:rsidRPr="00DD6FAC">
        <w:rPr>
          <w:rFonts w:ascii="Times New Roman" w:eastAsia="Times New Roman" w:hAnsi="Times New Roman"/>
          <w:sz w:val="24"/>
          <w:szCs w:val="24"/>
        </w:rPr>
        <w:t>Dufey</w:t>
      </w:r>
      <w:proofErr w:type="spellEnd"/>
      <w:r w:rsidR="00E24055" w:rsidRPr="00DD6FAC">
        <w:rPr>
          <w:rFonts w:ascii="Times New Roman" w:eastAsia="Times New Roman" w:hAnsi="Times New Roman"/>
          <w:sz w:val="24"/>
          <w:szCs w:val="24"/>
        </w:rPr>
        <w:t xml:space="preserve"> (2009) and Lye (2011) </w:t>
      </w:r>
      <w:r w:rsidR="00476A6A" w:rsidRPr="00DD6FAC">
        <w:rPr>
          <w:rFonts w:ascii="Times New Roman" w:eastAsia="Times New Roman" w:hAnsi="Times New Roman"/>
          <w:sz w:val="24"/>
          <w:szCs w:val="24"/>
        </w:rPr>
        <w:t xml:space="preserve">as summarized in Chung </w:t>
      </w:r>
      <w:r w:rsidR="009F04A4">
        <w:rPr>
          <w:rFonts w:ascii="Times New Roman" w:eastAsia="Times New Roman" w:hAnsi="Times New Roman"/>
          <w:sz w:val="24"/>
          <w:szCs w:val="24"/>
        </w:rPr>
        <w:t>et al.</w:t>
      </w:r>
      <w:r w:rsidR="00476A6A" w:rsidRPr="00DD6FAC">
        <w:rPr>
          <w:rFonts w:ascii="Times New Roman" w:eastAsia="Times New Roman" w:hAnsi="Times New Roman"/>
          <w:sz w:val="24"/>
          <w:szCs w:val="24"/>
        </w:rPr>
        <w:t xml:space="preserve"> (2014) </w:t>
      </w:r>
      <w:r w:rsidR="009A6E46" w:rsidRPr="00DD6FAC">
        <w:rPr>
          <w:rFonts w:ascii="Times New Roman" w:eastAsia="Times New Roman" w:hAnsi="Times New Roman"/>
          <w:sz w:val="24"/>
          <w:szCs w:val="24"/>
        </w:rPr>
        <w:t xml:space="preserve">and see whether each of the segments </w:t>
      </w:r>
      <w:r w:rsidR="003C7D0F" w:rsidRPr="00DD6FAC">
        <w:rPr>
          <w:rFonts w:ascii="Times New Roman" w:eastAsia="Times New Roman" w:hAnsi="Times New Roman"/>
          <w:sz w:val="24"/>
          <w:szCs w:val="24"/>
        </w:rPr>
        <w:t xml:space="preserve">may </w:t>
      </w:r>
      <w:r w:rsidR="009A6E46" w:rsidRPr="00DD6FAC">
        <w:rPr>
          <w:rFonts w:ascii="Times New Roman" w:eastAsia="Times New Roman" w:hAnsi="Times New Roman"/>
          <w:sz w:val="24"/>
          <w:szCs w:val="24"/>
        </w:rPr>
        <w:t>display different behavior(s.)</w:t>
      </w:r>
      <w:r w:rsidR="008621D7" w:rsidRPr="00DD6FAC">
        <w:rPr>
          <w:rFonts w:ascii="Times New Roman" w:eastAsia="Times New Roman" w:hAnsi="Times New Roman"/>
          <w:sz w:val="24"/>
          <w:szCs w:val="24"/>
        </w:rPr>
        <w:t xml:space="preserve">  </w:t>
      </w:r>
      <w:r w:rsidR="008621D7" w:rsidRPr="00DD6FAC">
        <w:rPr>
          <w:rFonts w:ascii="Times New Roman" w:hAnsi="Times New Roman"/>
          <w:sz w:val="24"/>
          <w:szCs w:val="24"/>
        </w:rPr>
        <w:t xml:space="preserve">To test discriminate validity, we shall use ANOVA to test for significant differences between the four segments and the client behaviors. </w:t>
      </w:r>
    </w:p>
    <w:p w:rsidR="00C863EC" w:rsidRPr="00DD6FAC" w:rsidRDefault="00C863EC" w:rsidP="00DD6FAC">
      <w:pPr>
        <w:pStyle w:val="Heading2"/>
        <w:spacing w:line="480" w:lineRule="auto"/>
        <w:jc w:val="both"/>
        <w:rPr>
          <w:rFonts w:ascii="Times New Roman" w:hAnsi="Times New Roman" w:cs="Times New Roman"/>
          <w:sz w:val="24"/>
          <w:szCs w:val="24"/>
        </w:rPr>
      </w:pPr>
      <w:r w:rsidRPr="00DD6FAC">
        <w:rPr>
          <w:rFonts w:ascii="Times New Roman" w:hAnsi="Times New Roman" w:cs="Times New Roman"/>
          <w:sz w:val="24"/>
          <w:szCs w:val="24"/>
        </w:rPr>
        <w:t>Behavioral Characteristics of Private Banking Clients</w:t>
      </w:r>
    </w:p>
    <w:p w:rsidR="00C863EC" w:rsidRPr="00DD6FAC" w:rsidRDefault="00D25AE3" w:rsidP="00DD6FAC">
      <w:pPr>
        <w:spacing w:line="480" w:lineRule="auto"/>
        <w:jc w:val="both"/>
        <w:rPr>
          <w:rFonts w:ascii="Times New Roman" w:hAnsi="Times New Roman"/>
          <w:sz w:val="24"/>
          <w:szCs w:val="24"/>
        </w:rPr>
      </w:pPr>
      <w:r w:rsidRPr="00DD6FAC">
        <w:rPr>
          <w:rFonts w:ascii="Times New Roman" w:hAnsi="Times New Roman"/>
          <w:sz w:val="24"/>
          <w:szCs w:val="24"/>
        </w:rPr>
        <w:t xml:space="preserve">Chung </w:t>
      </w:r>
      <w:r w:rsidR="009F04A4">
        <w:rPr>
          <w:rFonts w:ascii="Times New Roman" w:hAnsi="Times New Roman"/>
          <w:sz w:val="24"/>
          <w:szCs w:val="24"/>
        </w:rPr>
        <w:t>et al.</w:t>
      </w:r>
      <w:r w:rsidRPr="00DD6FAC">
        <w:rPr>
          <w:rFonts w:ascii="Times New Roman" w:hAnsi="Times New Roman"/>
          <w:sz w:val="24"/>
          <w:szCs w:val="24"/>
        </w:rPr>
        <w:t xml:space="preserve"> (2014) summarized </w:t>
      </w:r>
      <w:r w:rsidR="00476A6A" w:rsidRPr="00DD6FAC">
        <w:rPr>
          <w:rFonts w:ascii="Times New Roman" w:eastAsia="Times New Roman" w:hAnsi="Times New Roman"/>
          <w:sz w:val="24"/>
          <w:szCs w:val="24"/>
        </w:rPr>
        <w:t xml:space="preserve">a number of behavioral hypotheses proposed by Maude (2006,) </w:t>
      </w:r>
      <w:proofErr w:type="spellStart"/>
      <w:r w:rsidR="00476A6A" w:rsidRPr="00DD6FAC">
        <w:rPr>
          <w:rFonts w:ascii="Times New Roman" w:eastAsia="Times New Roman" w:hAnsi="Times New Roman"/>
          <w:sz w:val="24"/>
          <w:szCs w:val="24"/>
        </w:rPr>
        <w:t>Dufey</w:t>
      </w:r>
      <w:proofErr w:type="spellEnd"/>
      <w:r w:rsidR="00476A6A" w:rsidRPr="00DD6FAC">
        <w:rPr>
          <w:rFonts w:ascii="Times New Roman" w:eastAsia="Times New Roman" w:hAnsi="Times New Roman"/>
          <w:sz w:val="24"/>
          <w:szCs w:val="24"/>
        </w:rPr>
        <w:t xml:space="preserve"> (2009) and Lye (2011) </w:t>
      </w:r>
      <w:r w:rsidR="00C863EC" w:rsidRPr="00DD6FAC">
        <w:rPr>
          <w:rFonts w:ascii="Times New Roman" w:hAnsi="Times New Roman"/>
          <w:sz w:val="24"/>
          <w:szCs w:val="24"/>
        </w:rPr>
        <w:t xml:space="preserve">and arrived at nine </w:t>
      </w:r>
      <w:r w:rsidR="00476A6A" w:rsidRPr="00DD6FAC">
        <w:rPr>
          <w:rFonts w:ascii="Times New Roman" w:hAnsi="Times New Roman"/>
          <w:sz w:val="24"/>
          <w:szCs w:val="24"/>
        </w:rPr>
        <w:t xml:space="preserve">private banking client </w:t>
      </w:r>
      <w:r w:rsidR="00C863EC" w:rsidRPr="00DD6FAC">
        <w:rPr>
          <w:rFonts w:ascii="Times New Roman" w:hAnsi="Times New Roman"/>
          <w:sz w:val="24"/>
          <w:szCs w:val="24"/>
        </w:rPr>
        <w:t xml:space="preserve">behavioral characteristics for examination. </w:t>
      </w:r>
    </w:p>
    <w:p w:rsidR="00C863EC" w:rsidRPr="00DD6FAC" w:rsidRDefault="009F3ACB" w:rsidP="00DD6FAC">
      <w:pPr>
        <w:pStyle w:val="Heading3"/>
        <w:spacing w:line="480" w:lineRule="auto"/>
        <w:jc w:val="both"/>
        <w:rPr>
          <w:rFonts w:ascii="Times New Roman" w:hAnsi="Times New Roman" w:cs="Times New Roman"/>
          <w:color w:val="auto"/>
          <w:sz w:val="24"/>
          <w:szCs w:val="24"/>
        </w:rPr>
      </w:pPr>
      <w:r w:rsidRPr="00DD6FAC">
        <w:rPr>
          <w:rFonts w:ascii="Times New Roman" w:hAnsi="Times New Roman" w:cs="Times New Roman"/>
          <w:color w:val="auto"/>
          <w:sz w:val="24"/>
          <w:szCs w:val="24"/>
        </w:rPr>
        <w:t xml:space="preserve">Network </w:t>
      </w:r>
      <w:r w:rsidR="006B4D67" w:rsidRPr="00DD6FAC">
        <w:rPr>
          <w:rFonts w:ascii="Times New Roman" w:hAnsi="Times New Roman" w:cs="Times New Roman"/>
          <w:color w:val="auto"/>
          <w:sz w:val="24"/>
          <w:szCs w:val="24"/>
        </w:rPr>
        <w:t>Relationship Behavior</w:t>
      </w:r>
    </w:p>
    <w:p w:rsidR="00C863EC" w:rsidRPr="00DD6FAC" w:rsidRDefault="006B4D67" w:rsidP="00DD6FAC">
      <w:pPr>
        <w:spacing w:line="480" w:lineRule="auto"/>
        <w:jc w:val="both"/>
        <w:rPr>
          <w:rFonts w:ascii="Times New Roman" w:hAnsi="Times New Roman"/>
          <w:sz w:val="24"/>
          <w:szCs w:val="24"/>
        </w:rPr>
      </w:pPr>
      <w:r w:rsidRPr="00DD6FAC">
        <w:rPr>
          <w:rFonts w:ascii="Times New Roman" w:hAnsi="Times New Roman"/>
          <w:sz w:val="24"/>
          <w:szCs w:val="24"/>
        </w:rPr>
        <w:t xml:space="preserve">While </w:t>
      </w:r>
      <w:r w:rsidR="00C863EC" w:rsidRPr="00DD6FAC">
        <w:rPr>
          <w:rFonts w:ascii="Times New Roman" w:hAnsi="Times New Roman"/>
          <w:sz w:val="24"/>
          <w:szCs w:val="24"/>
        </w:rPr>
        <w:t xml:space="preserve">Maude (2006) </w:t>
      </w:r>
      <w:r w:rsidRPr="00DD6FAC">
        <w:rPr>
          <w:rFonts w:ascii="Times New Roman" w:hAnsi="Times New Roman"/>
          <w:sz w:val="24"/>
          <w:szCs w:val="24"/>
        </w:rPr>
        <w:t xml:space="preserve">suggested </w:t>
      </w:r>
      <w:r w:rsidR="00C863EC" w:rsidRPr="00DD6FAC">
        <w:rPr>
          <w:rFonts w:ascii="Times New Roman" w:hAnsi="Times New Roman"/>
          <w:sz w:val="24"/>
          <w:szCs w:val="24"/>
        </w:rPr>
        <w:t xml:space="preserve">that traditional private banking clients prefer a private confidential relationship with the private bankers.  Lye (2011) observed that Asian clients tend to use the banker as a platform to </w:t>
      </w:r>
      <w:r w:rsidR="007D3910" w:rsidRPr="00DD6FAC">
        <w:rPr>
          <w:rFonts w:ascii="Times New Roman" w:hAnsi="Times New Roman"/>
          <w:sz w:val="24"/>
          <w:szCs w:val="24"/>
        </w:rPr>
        <w:t xml:space="preserve">access private </w:t>
      </w:r>
      <w:r w:rsidR="00C863EC" w:rsidRPr="00DD6FAC">
        <w:rPr>
          <w:rFonts w:ascii="Times New Roman" w:hAnsi="Times New Roman"/>
          <w:sz w:val="24"/>
          <w:szCs w:val="24"/>
        </w:rPr>
        <w:t xml:space="preserve">information.  </w:t>
      </w:r>
      <w:r w:rsidR="0097384F" w:rsidRPr="00DD6FAC">
        <w:rPr>
          <w:rFonts w:ascii="Times New Roman" w:hAnsi="Times New Roman"/>
          <w:sz w:val="24"/>
          <w:szCs w:val="24"/>
        </w:rPr>
        <w:t xml:space="preserve">The challenge is, a </w:t>
      </w:r>
      <w:r w:rsidRPr="00DD6FAC">
        <w:rPr>
          <w:rFonts w:ascii="Times New Roman" w:hAnsi="Times New Roman"/>
          <w:sz w:val="24"/>
          <w:szCs w:val="24"/>
        </w:rPr>
        <w:t xml:space="preserve">relationship </w:t>
      </w:r>
      <w:r w:rsidR="00C863EC" w:rsidRPr="00DD6FAC">
        <w:rPr>
          <w:rFonts w:ascii="Times New Roman" w:hAnsi="Times New Roman"/>
          <w:sz w:val="24"/>
          <w:szCs w:val="24"/>
        </w:rPr>
        <w:t xml:space="preserve">platform </w:t>
      </w:r>
      <w:r w:rsidRPr="00DD6FAC">
        <w:rPr>
          <w:rFonts w:ascii="Times New Roman" w:hAnsi="Times New Roman"/>
          <w:sz w:val="24"/>
          <w:szCs w:val="24"/>
        </w:rPr>
        <w:t xml:space="preserve">that aims at sharing information </w:t>
      </w:r>
      <w:r w:rsidR="00C863EC" w:rsidRPr="00DD6FAC">
        <w:rPr>
          <w:rFonts w:ascii="Times New Roman" w:hAnsi="Times New Roman"/>
          <w:sz w:val="24"/>
          <w:szCs w:val="24"/>
        </w:rPr>
        <w:t xml:space="preserve">will </w:t>
      </w:r>
      <w:r w:rsidRPr="00DD6FAC">
        <w:rPr>
          <w:rFonts w:ascii="Times New Roman" w:hAnsi="Times New Roman"/>
          <w:sz w:val="24"/>
          <w:szCs w:val="24"/>
        </w:rPr>
        <w:t xml:space="preserve">naturally result </w:t>
      </w:r>
      <w:r w:rsidR="00810536" w:rsidRPr="00DD6FAC">
        <w:rPr>
          <w:rFonts w:ascii="Times New Roman" w:hAnsi="Times New Roman"/>
          <w:sz w:val="24"/>
          <w:szCs w:val="24"/>
        </w:rPr>
        <w:t xml:space="preserve">in </w:t>
      </w:r>
      <w:r w:rsidRPr="00DD6FAC">
        <w:rPr>
          <w:rFonts w:ascii="Times New Roman" w:hAnsi="Times New Roman"/>
          <w:sz w:val="24"/>
          <w:szCs w:val="24"/>
        </w:rPr>
        <w:t xml:space="preserve">a certain degree of compromising of </w:t>
      </w:r>
      <w:r w:rsidR="00C863EC" w:rsidRPr="00DD6FAC">
        <w:rPr>
          <w:rFonts w:ascii="Times New Roman" w:hAnsi="Times New Roman"/>
          <w:sz w:val="24"/>
          <w:szCs w:val="24"/>
        </w:rPr>
        <w:t>confidentiality and privacy</w:t>
      </w:r>
      <w:r w:rsidR="00D84D2E" w:rsidRPr="00DD6FAC">
        <w:rPr>
          <w:rFonts w:ascii="Times New Roman" w:hAnsi="Times New Roman"/>
          <w:sz w:val="24"/>
          <w:szCs w:val="24"/>
        </w:rPr>
        <w:t>, and</w:t>
      </w:r>
      <w:r w:rsidR="0097384F" w:rsidRPr="00DD6FAC">
        <w:rPr>
          <w:rFonts w:ascii="Times New Roman" w:hAnsi="Times New Roman"/>
          <w:sz w:val="24"/>
          <w:szCs w:val="24"/>
        </w:rPr>
        <w:t>,</w:t>
      </w:r>
      <w:r w:rsidR="00D84D2E" w:rsidRPr="00DD6FAC">
        <w:rPr>
          <w:rFonts w:ascii="Times New Roman" w:hAnsi="Times New Roman"/>
          <w:sz w:val="24"/>
          <w:szCs w:val="24"/>
        </w:rPr>
        <w:t xml:space="preserve"> as a result, </w:t>
      </w:r>
      <w:r w:rsidR="0097384F" w:rsidRPr="00DD6FAC">
        <w:rPr>
          <w:rFonts w:ascii="Times New Roman" w:hAnsi="Times New Roman"/>
          <w:sz w:val="24"/>
          <w:szCs w:val="24"/>
        </w:rPr>
        <w:t xml:space="preserve">a platform that </w:t>
      </w:r>
      <w:r w:rsidR="00D84D2E" w:rsidRPr="00DD6FAC">
        <w:rPr>
          <w:rFonts w:ascii="Times New Roman" w:hAnsi="Times New Roman"/>
          <w:sz w:val="24"/>
          <w:szCs w:val="24"/>
        </w:rPr>
        <w:t xml:space="preserve">may be preferred by one segment of clients </w:t>
      </w:r>
      <w:r w:rsidR="0097384F" w:rsidRPr="00DD6FAC">
        <w:rPr>
          <w:rFonts w:ascii="Times New Roman" w:hAnsi="Times New Roman"/>
          <w:sz w:val="24"/>
          <w:szCs w:val="24"/>
        </w:rPr>
        <w:t xml:space="preserve">may discourage </w:t>
      </w:r>
      <w:r w:rsidR="00D84D2E" w:rsidRPr="00DD6FAC">
        <w:rPr>
          <w:rFonts w:ascii="Times New Roman" w:hAnsi="Times New Roman"/>
          <w:sz w:val="24"/>
          <w:szCs w:val="24"/>
        </w:rPr>
        <w:t>another</w:t>
      </w:r>
      <w:r w:rsidR="00C863EC" w:rsidRPr="00DD6FAC">
        <w:rPr>
          <w:rFonts w:ascii="Times New Roman" w:hAnsi="Times New Roman"/>
          <w:sz w:val="24"/>
          <w:szCs w:val="24"/>
        </w:rPr>
        <w:t xml:space="preserve">.  </w:t>
      </w:r>
      <w:r w:rsidR="00810536" w:rsidRPr="00DD6FAC">
        <w:rPr>
          <w:rFonts w:ascii="Times New Roman" w:hAnsi="Times New Roman"/>
          <w:sz w:val="24"/>
          <w:szCs w:val="24"/>
        </w:rPr>
        <w:t xml:space="preserve">The decision to participate </w:t>
      </w:r>
      <w:r w:rsidR="00D84D2E" w:rsidRPr="00DD6FAC">
        <w:rPr>
          <w:rFonts w:ascii="Times New Roman" w:hAnsi="Times New Roman"/>
          <w:sz w:val="24"/>
          <w:szCs w:val="24"/>
        </w:rPr>
        <w:t xml:space="preserve">by each client segment </w:t>
      </w:r>
      <w:r w:rsidR="00810536" w:rsidRPr="00DD6FAC">
        <w:rPr>
          <w:rFonts w:ascii="Times New Roman" w:hAnsi="Times New Roman"/>
          <w:sz w:val="24"/>
          <w:szCs w:val="24"/>
        </w:rPr>
        <w:t>has significant implication</w:t>
      </w:r>
      <w:r w:rsidR="00D84D2E" w:rsidRPr="00DD6FAC">
        <w:rPr>
          <w:rFonts w:ascii="Times New Roman" w:hAnsi="Times New Roman"/>
          <w:sz w:val="24"/>
          <w:szCs w:val="24"/>
        </w:rPr>
        <w:t>s</w:t>
      </w:r>
      <w:r w:rsidR="00810536" w:rsidRPr="00DD6FAC">
        <w:rPr>
          <w:rFonts w:ascii="Times New Roman" w:hAnsi="Times New Roman"/>
          <w:sz w:val="24"/>
          <w:szCs w:val="24"/>
        </w:rPr>
        <w:t xml:space="preserve"> to private bankers offering products and services to the different segment of clients.  </w:t>
      </w:r>
      <w:r w:rsidR="00D84D2E" w:rsidRPr="00DD6FAC">
        <w:rPr>
          <w:rFonts w:ascii="Times New Roman" w:hAnsi="Times New Roman"/>
          <w:sz w:val="24"/>
          <w:szCs w:val="24"/>
        </w:rPr>
        <w:t xml:space="preserve">For instance, it is expected that networking opportunities would be welcomed by the </w:t>
      </w:r>
      <w:r w:rsidR="00D84D2E" w:rsidRPr="00DD6FAC">
        <w:rPr>
          <w:rFonts w:ascii="Times New Roman" w:hAnsi="Times New Roman"/>
          <w:i/>
          <w:sz w:val="24"/>
          <w:szCs w:val="24"/>
        </w:rPr>
        <w:t>Executives</w:t>
      </w:r>
      <w:r w:rsidR="00D84D2E" w:rsidRPr="00DD6FAC">
        <w:rPr>
          <w:rFonts w:ascii="Times New Roman" w:hAnsi="Times New Roman"/>
          <w:sz w:val="24"/>
          <w:szCs w:val="24"/>
        </w:rPr>
        <w:t xml:space="preserve"> but not the </w:t>
      </w:r>
      <w:r w:rsidR="00D84D2E" w:rsidRPr="00DD6FAC">
        <w:rPr>
          <w:rFonts w:ascii="Times New Roman" w:hAnsi="Times New Roman"/>
          <w:i/>
          <w:sz w:val="24"/>
          <w:szCs w:val="24"/>
        </w:rPr>
        <w:t>Entertainers</w:t>
      </w:r>
      <w:r w:rsidR="00D84D2E" w:rsidRPr="00DD6FAC">
        <w:rPr>
          <w:rFonts w:ascii="Times New Roman" w:hAnsi="Times New Roman"/>
          <w:sz w:val="24"/>
          <w:szCs w:val="24"/>
        </w:rPr>
        <w:t>.  Hence, a social gathering arranged by the bank</w:t>
      </w:r>
      <w:r w:rsidR="0097384F" w:rsidRPr="00DD6FAC">
        <w:rPr>
          <w:rFonts w:ascii="Times New Roman" w:hAnsi="Times New Roman"/>
          <w:sz w:val="24"/>
          <w:szCs w:val="24"/>
        </w:rPr>
        <w:t>,</w:t>
      </w:r>
      <w:r w:rsidR="00D84D2E" w:rsidRPr="00DD6FAC">
        <w:rPr>
          <w:rFonts w:ascii="Times New Roman" w:hAnsi="Times New Roman"/>
          <w:sz w:val="24"/>
          <w:szCs w:val="24"/>
        </w:rPr>
        <w:t xml:space="preserve"> for marketing and promotion may be welcomed by the former</w:t>
      </w:r>
      <w:r w:rsidR="0097384F" w:rsidRPr="00DD6FAC">
        <w:rPr>
          <w:rFonts w:ascii="Times New Roman" w:hAnsi="Times New Roman"/>
          <w:sz w:val="24"/>
          <w:szCs w:val="24"/>
        </w:rPr>
        <w:t>,</w:t>
      </w:r>
      <w:r w:rsidR="00D84D2E" w:rsidRPr="00DD6FAC">
        <w:rPr>
          <w:rFonts w:ascii="Times New Roman" w:hAnsi="Times New Roman"/>
          <w:sz w:val="24"/>
          <w:szCs w:val="24"/>
        </w:rPr>
        <w:t xml:space="preserve"> but not the later.  </w:t>
      </w:r>
      <w:r w:rsidRPr="00DD6FAC">
        <w:rPr>
          <w:rFonts w:ascii="Times New Roman" w:hAnsi="Times New Roman"/>
          <w:sz w:val="24"/>
          <w:szCs w:val="24"/>
        </w:rPr>
        <w:t>T</w:t>
      </w:r>
      <w:r w:rsidR="00C863EC" w:rsidRPr="00DD6FAC">
        <w:rPr>
          <w:rFonts w:ascii="Times New Roman" w:hAnsi="Times New Roman"/>
          <w:sz w:val="24"/>
          <w:szCs w:val="24"/>
        </w:rPr>
        <w:t>his confidentiality-information seeking dichotomy is label</w:t>
      </w:r>
      <w:r w:rsidRPr="00DD6FAC">
        <w:rPr>
          <w:rFonts w:ascii="Times New Roman" w:hAnsi="Times New Roman"/>
          <w:sz w:val="24"/>
          <w:szCs w:val="24"/>
        </w:rPr>
        <w:t>led “</w:t>
      </w:r>
      <w:r w:rsidR="00C863EC" w:rsidRPr="00DD6FAC">
        <w:rPr>
          <w:rFonts w:ascii="Times New Roman" w:hAnsi="Times New Roman"/>
          <w:sz w:val="24"/>
          <w:szCs w:val="24"/>
        </w:rPr>
        <w:t>network relationship</w:t>
      </w:r>
      <w:r w:rsidRPr="00DD6FAC">
        <w:rPr>
          <w:rFonts w:ascii="Times New Roman" w:hAnsi="Times New Roman"/>
          <w:sz w:val="24"/>
          <w:szCs w:val="24"/>
        </w:rPr>
        <w:t xml:space="preserve">” in Chung </w:t>
      </w:r>
      <w:r w:rsidR="009F04A4">
        <w:rPr>
          <w:rFonts w:ascii="Times New Roman" w:hAnsi="Times New Roman"/>
          <w:sz w:val="24"/>
          <w:szCs w:val="24"/>
        </w:rPr>
        <w:t>et al.</w:t>
      </w:r>
      <w:r w:rsidRPr="00DD6FAC">
        <w:rPr>
          <w:rFonts w:ascii="Times New Roman" w:hAnsi="Times New Roman"/>
          <w:sz w:val="24"/>
          <w:szCs w:val="24"/>
        </w:rPr>
        <w:t xml:space="preserve"> (2014.)</w:t>
      </w:r>
      <w:r w:rsidR="00374E89" w:rsidRPr="00DD6FAC">
        <w:rPr>
          <w:rFonts w:ascii="Times New Roman" w:hAnsi="Times New Roman"/>
          <w:sz w:val="24"/>
          <w:szCs w:val="24"/>
        </w:rPr>
        <w:t xml:space="preserve">  </w:t>
      </w:r>
    </w:p>
    <w:p w:rsidR="00374E89" w:rsidRPr="00DD6FAC" w:rsidRDefault="009F3ACB" w:rsidP="00DD6FAC">
      <w:pPr>
        <w:pStyle w:val="Heading3"/>
        <w:spacing w:line="480" w:lineRule="auto"/>
        <w:jc w:val="both"/>
        <w:rPr>
          <w:rFonts w:ascii="Times New Roman" w:hAnsi="Times New Roman" w:cs="Times New Roman"/>
          <w:color w:val="auto"/>
          <w:sz w:val="24"/>
          <w:szCs w:val="24"/>
        </w:rPr>
      </w:pPr>
      <w:r w:rsidRPr="00DD6FAC">
        <w:rPr>
          <w:rFonts w:ascii="Times New Roman" w:hAnsi="Times New Roman" w:cs="Times New Roman"/>
          <w:color w:val="auto"/>
          <w:sz w:val="24"/>
          <w:szCs w:val="24"/>
        </w:rPr>
        <w:lastRenderedPageBreak/>
        <w:t>Legacy Orientation</w:t>
      </w:r>
      <w:r w:rsidR="0097384F" w:rsidRPr="00DD6FAC">
        <w:rPr>
          <w:rFonts w:ascii="Times New Roman" w:hAnsi="Times New Roman" w:cs="Times New Roman"/>
          <w:color w:val="auto"/>
          <w:sz w:val="24"/>
          <w:szCs w:val="24"/>
        </w:rPr>
        <w:t xml:space="preserve"> Behavior</w:t>
      </w:r>
    </w:p>
    <w:p w:rsidR="00C863EC" w:rsidRPr="00DD6FAC" w:rsidRDefault="00C863EC" w:rsidP="00DD6FAC">
      <w:pPr>
        <w:spacing w:line="480" w:lineRule="auto"/>
        <w:jc w:val="both"/>
        <w:rPr>
          <w:rFonts w:ascii="Times New Roman" w:hAnsi="Times New Roman"/>
          <w:sz w:val="24"/>
          <w:szCs w:val="24"/>
        </w:rPr>
      </w:pPr>
      <w:r w:rsidRPr="00DD6FAC">
        <w:rPr>
          <w:rFonts w:ascii="Times New Roman" w:hAnsi="Times New Roman"/>
          <w:sz w:val="24"/>
          <w:szCs w:val="24"/>
        </w:rPr>
        <w:t xml:space="preserve">A second behavioral characteristic again </w:t>
      </w:r>
      <w:r w:rsidR="00AA4A67" w:rsidRPr="00DD6FAC">
        <w:rPr>
          <w:rFonts w:ascii="Times New Roman" w:hAnsi="Times New Roman"/>
          <w:sz w:val="24"/>
          <w:szCs w:val="24"/>
        </w:rPr>
        <w:t xml:space="preserve">focuses on </w:t>
      </w:r>
      <w:r w:rsidRPr="00DD6FAC">
        <w:rPr>
          <w:rFonts w:ascii="Times New Roman" w:hAnsi="Times New Roman"/>
          <w:sz w:val="24"/>
          <w:szCs w:val="24"/>
        </w:rPr>
        <w:t xml:space="preserve">the relationship between </w:t>
      </w:r>
      <w:r w:rsidR="00AA4A67" w:rsidRPr="00DD6FAC">
        <w:rPr>
          <w:rFonts w:ascii="Times New Roman" w:hAnsi="Times New Roman"/>
          <w:sz w:val="24"/>
          <w:szCs w:val="24"/>
        </w:rPr>
        <w:t xml:space="preserve">the client </w:t>
      </w:r>
      <w:r w:rsidRPr="00DD6FAC">
        <w:rPr>
          <w:rFonts w:ascii="Times New Roman" w:hAnsi="Times New Roman"/>
          <w:sz w:val="24"/>
          <w:szCs w:val="24"/>
        </w:rPr>
        <w:t xml:space="preserve">and the outside world.  In this case, however, </w:t>
      </w:r>
      <w:r w:rsidR="00AA4A67" w:rsidRPr="00DD6FAC">
        <w:rPr>
          <w:rFonts w:ascii="Times New Roman" w:hAnsi="Times New Roman"/>
          <w:sz w:val="24"/>
          <w:szCs w:val="24"/>
        </w:rPr>
        <w:t xml:space="preserve">at issue is the client’s preference toward an inter-generational legacy versus a social legacy.  An inter-generational legacy is one which </w:t>
      </w:r>
      <w:r w:rsidR="00720054" w:rsidRPr="00DD6FAC">
        <w:rPr>
          <w:rFonts w:ascii="Times New Roman" w:hAnsi="Times New Roman"/>
          <w:sz w:val="24"/>
          <w:szCs w:val="24"/>
        </w:rPr>
        <w:t xml:space="preserve">focuses on addressing the welfare of the client’s immediate family members, while a social legacy is one what addresses issues of the society at large, e.g., the Bill and Malinda Gates Foundation.  </w:t>
      </w:r>
      <w:r w:rsidRPr="00DD6FAC">
        <w:rPr>
          <w:rFonts w:ascii="Times New Roman" w:hAnsi="Times New Roman"/>
          <w:sz w:val="24"/>
          <w:szCs w:val="24"/>
        </w:rPr>
        <w:t xml:space="preserve">Lye (2011) </w:t>
      </w:r>
      <w:r w:rsidR="00720054" w:rsidRPr="00DD6FAC">
        <w:rPr>
          <w:rFonts w:ascii="Times New Roman" w:hAnsi="Times New Roman"/>
          <w:sz w:val="24"/>
          <w:szCs w:val="24"/>
        </w:rPr>
        <w:t xml:space="preserve">observed </w:t>
      </w:r>
      <w:r w:rsidRPr="00DD6FAC">
        <w:rPr>
          <w:rFonts w:ascii="Times New Roman" w:hAnsi="Times New Roman"/>
          <w:sz w:val="24"/>
          <w:szCs w:val="24"/>
        </w:rPr>
        <w:t>that HNWIs in the east tend to have a preference for building an intergenerational legacy, i.e., a legacy among his/her “clan,” rather than a social legacy</w:t>
      </w:r>
      <w:r w:rsidR="00720054" w:rsidRPr="00DD6FAC">
        <w:rPr>
          <w:rFonts w:ascii="Times New Roman" w:hAnsi="Times New Roman"/>
          <w:sz w:val="24"/>
          <w:szCs w:val="24"/>
        </w:rPr>
        <w:t xml:space="preserve">.  Chung </w:t>
      </w:r>
      <w:r w:rsidR="009F04A4">
        <w:rPr>
          <w:rFonts w:ascii="Times New Roman" w:hAnsi="Times New Roman"/>
          <w:sz w:val="24"/>
          <w:szCs w:val="24"/>
        </w:rPr>
        <w:t>et al.</w:t>
      </w:r>
      <w:r w:rsidR="00720054" w:rsidRPr="00DD6FAC">
        <w:rPr>
          <w:rFonts w:ascii="Times New Roman" w:hAnsi="Times New Roman"/>
          <w:sz w:val="24"/>
          <w:szCs w:val="24"/>
        </w:rPr>
        <w:t xml:space="preserve"> (2014) labelled as “legacy relationship.” </w:t>
      </w:r>
      <w:r w:rsidRPr="00DD6FAC">
        <w:rPr>
          <w:rFonts w:ascii="Times New Roman" w:hAnsi="Times New Roman"/>
          <w:sz w:val="24"/>
          <w:szCs w:val="24"/>
        </w:rPr>
        <w:t xml:space="preserve"> </w:t>
      </w:r>
    </w:p>
    <w:p w:rsidR="00C863EC" w:rsidRPr="00DD6FAC" w:rsidRDefault="009F3ACB" w:rsidP="00DD6FAC">
      <w:pPr>
        <w:pStyle w:val="Heading3"/>
        <w:spacing w:line="480" w:lineRule="auto"/>
        <w:jc w:val="both"/>
        <w:rPr>
          <w:rFonts w:ascii="Times New Roman" w:hAnsi="Times New Roman" w:cs="Times New Roman"/>
          <w:color w:val="auto"/>
          <w:sz w:val="24"/>
          <w:szCs w:val="24"/>
        </w:rPr>
      </w:pPr>
      <w:r w:rsidRPr="00DD6FAC">
        <w:rPr>
          <w:rFonts w:ascii="Times New Roman" w:hAnsi="Times New Roman" w:cs="Times New Roman"/>
          <w:color w:val="auto"/>
          <w:sz w:val="24"/>
          <w:szCs w:val="24"/>
        </w:rPr>
        <w:t>Investment Style</w:t>
      </w:r>
      <w:r w:rsidR="00720054" w:rsidRPr="00DD6FAC">
        <w:rPr>
          <w:rFonts w:ascii="Times New Roman" w:hAnsi="Times New Roman" w:cs="Times New Roman"/>
          <w:color w:val="auto"/>
          <w:sz w:val="24"/>
          <w:szCs w:val="24"/>
        </w:rPr>
        <w:t xml:space="preserve"> Behavior</w:t>
      </w:r>
    </w:p>
    <w:p w:rsidR="00C863EC" w:rsidRPr="00DD6FAC" w:rsidRDefault="00720054" w:rsidP="00DD6FAC">
      <w:pPr>
        <w:spacing w:line="480" w:lineRule="auto"/>
        <w:jc w:val="both"/>
        <w:rPr>
          <w:rFonts w:ascii="Times New Roman" w:hAnsi="Times New Roman"/>
          <w:sz w:val="24"/>
          <w:szCs w:val="24"/>
        </w:rPr>
      </w:pPr>
      <w:r w:rsidRPr="00DD6FAC">
        <w:rPr>
          <w:rFonts w:ascii="Times New Roman" w:hAnsi="Times New Roman"/>
          <w:sz w:val="24"/>
          <w:szCs w:val="24"/>
        </w:rPr>
        <w:t xml:space="preserve">Investment style looks at </w:t>
      </w:r>
      <w:r w:rsidR="00C863EC" w:rsidRPr="00DD6FAC">
        <w:rPr>
          <w:rFonts w:ascii="Times New Roman" w:hAnsi="Times New Roman"/>
          <w:sz w:val="24"/>
          <w:szCs w:val="24"/>
        </w:rPr>
        <w:t xml:space="preserve">the degree of involvement (or participation) by clients in the investment decisions.  In a discretionary relationship, the HNW client will leave investment decisions largely to the </w:t>
      </w:r>
      <w:r w:rsidR="004C4A21" w:rsidRPr="00DD6FAC">
        <w:rPr>
          <w:rFonts w:ascii="Times New Roman" w:hAnsi="Times New Roman"/>
          <w:sz w:val="24"/>
          <w:szCs w:val="24"/>
        </w:rPr>
        <w:t xml:space="preserve">private </w:t>
      </w:r>
      <w:r w:rsidR="00C863EC" w:rsidRPr="00DD6FAC">
        <w:rPr>
          <w:rFonts w:ascii="Times New Roman" w:hAnsi="Times New Roman"/>
          <w:sz w:val="24"/>
          <w:szCs w:val="24"/>
        </w:rPr>
        <w:t xml:space="preserve">bank and the banker and have little active involvement.  In this case, decisions are mainly guided by “investment mandates.”  On the other hand, as observed by Lye (2011,) Asian clients, </w:t>
      </w:r>
      <w:r w:rsidR="004C4A21" w:rsidRPr="00DD6FAC">
        <w:rPr>
          <w:rFonts w:ascii="Times New Roman" w:hAnsi="Times New Roman"/>
          <w:sz w:val="24"/>
          <w:szCs w:val="24"/>
        </w:rPr>
        <w:t>mostly “</w:t>
      </w:r>
      <w:r w:rsidR="004C4A21" w:rsidRPr="00DD6FAC">
        <w:rPr>
          <w:rFonts w:ascii="Times New Roman" w:hAnsi="Times New Roman"/>
          <w:i/>
          <w:sz w:val="24"/>
          <w:szCs w:val="24"/>
        </w:rPr>
        <w:t>Entrepreneurs</w:t>
      </w:r>
      <w:r w:rsidR="00C863EC" w:rsidRPr="00DD6FAC">
        <w:rPr>
          <w:rFonts w:ascii="Times New Roman" w:hAnsi="Times New Roman"/>
          <w:sz w:val="24"/>
          <w:szCs w:val="24"/>
        </w:rPr>
        <w:t xml:space="preserve">,” tend to retain more control and be actively involved in investment decisions. </w:t>
      </w:r>
      <w:r w:rsidR="004C4A21" w:rsidRPr="00DD6FAC">
        <w:rPr>
          <w:rFonts w:ascii="Times New Roman" w:hAnsi="Times New Roman"/>
          <w:sz w:val="24"/>
          <w:szCs w:val="24"/>
        </w:rPr>
        <w:t xml:space="preserve"> </w:t>
      </w:r>
      <w:r w:rsidR="00C863EC" w:rsidRPr="00DD6FAC">
        <w:rPr>
          <w:rFonts w:ascii="Times New Roman" w:hAnsi="Times New Roman"/>
          <w:sz w:val="24"/>
          <w:szCs w:val="24"/>
        </w:rPr>
        <w:t xml:space="preserve">The degree of involvement in the relationship, </w:t>
      </w:r>
      <w:r w:rsidR="004C4A21" w:rsidRPr="00DD6FAC">
        <w:rPr>
          <w:rFonts w:ascii="Times New Roman" w:hAnsi="Times New Roman"/>
          <w:sz w:val="24"/>
          <w:szCs w:val="24"/>
        </w:rPr>
        <w:t xml:space="preserve">is labelled “investment style” in Chung </w:t>
      </w:r>
      <w:r w:rsidR="009F04A4">
        <w:rPr>
          <w:rFonts w:ascii="Times New Roman" w:hAnsi="Times New Roman"/>
          <w:sz w:val="24"/>
          <w:szCs w:val="24"/>
        </w:rPr>
        <w:t>et al.</w:t>
      </w:r>
      <w:r w:rsidR="004C4A21" w:rsidRPr="00DD6FAC">
        <w:rPr>
          <w:rFonts w:ascii="Times New Roman" w:hAnsi="Times New Roman"/>
          <w:sz w:val="24"/>
          <w:szCs w:val="24"/>
        </w:rPr>
        <w:t xml:space="preserve"> (2014.)</w:t>
      </w:r>
    </w:p>
    <w:p w:rsidR="00C863EC" w:rsidRPr="00DD6FAC" w:rsidRDefault="0038372D" w:rsidP="00DD6FAC">
      <w:pPr>
        <w:pStyle w:val="Heading3"/>
        <w:spacing w:line="480" w:lineRule="auto"/>
        <w:jc w:val="both"/>
        <w:rPr>
          <w:rFonts w:ascii="Times New Roman" w:hAnsi="Times New Roman" w:cs="Times New Roman"/>
          <w:color w:val="auto"/>
          <w:sz w:val="24"/>
          <w:szCs w:val="24"/>
        </w:rPr>
      </w:pPr>
      <w:r w:rsidRPr="00DD6FAC">
        <w:rPr>
          <w:rFonts w:ascii="Times New Roman" w:hAnsi="Times New Roman" w:cs="Times New Roman"/>
          <w:color w:val="auto"/>
          <w:sz w:val="24"/>
          <w:szCs w:val="24"/>
        </w:rPr>
        <w:t xml:space="preserve">Compensation </w:t>
      </w:r>
      <w:r w:rsidR="004C4A21" w:rsidRPr="00DD6FAC">
        <w:rPr>
          <w:rFonts w:ascii="Times New Roman" w:hAnsi="Times New Roman" w:cs="Times New Roman"/>
          <w:color w:val="auto"/>
          <w:sz w:val="24"/>
          <w:szCs w:val="24"/>
        </w:rPr>
        <w:t>Preference Behavior</w:t>
      </w:r>
    </w:p>
    <w:p w:rsidR="00C863EC" w:rsidRPr="00DD6FAC" w:rsidRDefault="00C863EC" w:rsidP="00DD6FAC">
      <w:pPr>
        <w:spacing w:line="480" w:lineRule="auto"/>
        <w:jc w:val="both"/>
        <w:rPr>
          <w:rFonts w:ascii="Times New Roman" w:hAnsi="Times New Roman"/>
          <w:sz w:val="24"/>
          <w:szCs w:val="24"/>
        </w:rPr>
      </w:pPr>
      <w:r w:rsidRPr="00DD6FAC">
        <w:rPr>
          <w:rFonts w:ascii="Times New Roman" w:hAnsi="Times New Roman"/>
          <w:sz w:val="24"/>
          <w:szCs w:val="24"/>
        </w:rPr>
        <w:t xml:space="preserve">In addition to degree of involvement, </w:t>
      </w:r>
      <w:r w:rsidR="005C46B9" w:rsidRPr="00DD6FAC">
        <w:rPr>
          <w:rFonts w:ascii="Times New Roman" w:hAnsi="Times New Roman"/>
          <w:sz w:val="24"/>
          <w:szCs w:val="24"/>
        </w:rPr>
        <w:t xml:space="preserve">another key </w:t>
      </w:r>
      <w:r w:rsidRPr="00DD6FAC">
        <w:rPr>
          <w:rFonts w:ascii="Times New Roman" w:hAnsi="Times New Roman"/>
          <w:sz w:val="24"/>
          <w:szCs w:val="24"/>
        </w:rPr>
        <w:t xml:space="preserve">bank-client relationship </w:t>
      </w:r>
      <w:r w:rsidR="005C46B9" w:rsidRPr="00DD6FAC">
        <w:rPr>
          <w:rFonts w:ascii="Times New Roman" w:hAnsi="Times New Roman"/>
          <w:sz w:val="24"/>
          <w:szCs w:val="24"/>
        </w:rPr>
        <w:t xml:space="preserve">is </w:t>
      </w:r>
      <w:r w:rsidRPr="00DD6FAC">
        <w:rPr>
          <w:rFonts w:ascii="Times New Roman" w:hAnsi="Times New Roman"/>
          <w:sz w:val="24"/>
          <w:szCs w:val="24"/>
        </w:rPr>
        <w:t>how clients think banks should be compensated.  In general, bankers are compensated either by an annual fee, typically in the form of a percentage of Asset Under Management (AUM,) or commission</w:t>
      </w:r>
      <w:r w:rsidR="005C46B9" w:rsidRPr="00DD6FAC">
        <w:rPr>
          <w:rFonts w:ascii="Times New Roman" w:hAnsi="Times New Roman"/>
          <w:sz w:val="24"/>
          <w:szCs w:val="24"/>
        </w:rPr>
        <w:t xml:space="preserve"> </w:t>
      </w:r>
      <w:r w:rsidRPr="00DD6FAC">
        <w:rPr>
          <w:rFonts w:ascii="Times New Roman" w:hAnsi="Times New Roman"/>
          <w:sz w:val="24"/>
          <w:szCs w:val="24"/>
        </w:rPr>
        <w:t xml:space="preserve">based on transactions.  </w:t>
      </w:r>
      <w:r w:rsidR="005C46B9" w:rsidRPr="00DD6FAC">
        <w:rPr>
          <w:rFonts w:ascii="Times New Roman" w:hAnsi="Times New Roman"/>
          <w:sz w:val="24"/>
          <w:szCs w:val="24"/>
        </w:rPr>
        <w:t xml:space="preserve">This is labelled as “compensation” in Chung </w:t>
      </w:r>
      <w:r w:rsidR="009F04A4">
        <w:rPr>
          <w:rFonts w:ascii="Times New Roman" w:hAnsi="Times New Roman"/>
          <w:sz w:val="24"/>
          <w:szCs w:val="24"/>
        </w:rPr>
        <w:t>et al.</w:t>
      </w:r>
      <w:r w:rsidR="005C46B9" w:rsidRPr="00DD6FAC">
        <w:rPr>
          <w:rFonts w:ascii="Times New Roman" w:hAnsi="Times New Roman"/>
          <w:sz w:val="24"/>
          <w:szCs w:val="24"/>
        </w:rPr>
        <w:t xml:space="preserve"> (2014.)</w:t>
      </w:r>
    </w:p>
    <w:p w:rsidR="00C863EC" w:rsidRPr="00DD6FAC" w:rsidRDefault="00D65CA5" w:rsidP="00DD6FAC">
      <w:pPr>
        <w:pStyle w:val="Heading3"/>
        <w:spacing w:line="480" w:lineRule="auto"/>
        <w:jc w:val="both"/>
        <w:rPr>
          <w:rFonts w:ascii="Times New Roman" w:hAnsi="Times New Roman" w:cs="Times New Roman"/>
          <w:color w:val="auto"/>
          <w:sz w:val="24"/>
          <w:szCs w:val="24"/>
        </w:rPr>
      </w:pPr>
      <w:r w:rsidRPr="00DD6FAC">
        <w:rPr>
          <w:rFonts w:ascii="Times New Roman" w:hAnsi="Times New Roman" w:cs="Times New Roman"/>
          <w:color w:val="auto"/>
          <w:sz w:val="24"/>
          <w:szCs w:val="24"/>
        </w:rPr>
        <w:lastRenderedPageBreak/>
        <w:t xml:space="preserve">Investment Preferences </w:t>
      </w:r>
    </w:p>
    <w:p w:rsidR="00C863EC" w:rsidRPr="00DD6FAC" w:rsidRDefault="00C863EC" w:rsidP="00DD6FAC">
      <w:pPr>
        <w:spacing w:line="480" w:lineRule="auto"/>
        <w:jc w:val="both"/>
        <w:rPr>
          <w:rFonts w:ascii="Times New Roman" w:hAnsi="Times New Roman"/>
          <w:sz w:val="24"/>
          <w:szCs w:val="24"/>
        </w:rPr>
      </w:pPr>
      <w:r w:rsidRPr="00DD6FAC">
        <w:rPr>
          <w:rFonts w:ascii="Times New Roman" w:hAnsi="Times New Roman"/>
          <w:sz w:val="24"/>
          <w:szCs w:val="24"/>
        </w:rPr>
        <w:t xml:space="preserve">A key </w:t>
      </w:r>
      <w:r w:rsidR="005C46B9" w:rsidRPr="00DD6FAC">
        <w:rPr>
          <w:rFonts w:ascii="Times New Roman" w:hAnsi="Times New Roman"/>
          <w:sz w:val="24"/>
          <w:szCs w:val="24"/>
        </w:rPr>
        <w:t xml:space="preserve">behavior widely examined in </w:t>
      </w:r>
      <w:r w:rsidRPr="00DD6FAC">
        <w:rPr>
          <w:rFonts w:ascii="Times New Roman" w:hAnsi="Times New Roman"/>
          <w:sz w:val="24"/>
          <w:szCs w:val="24"/>
        </w:rPr>
        <w:t xml:space="preserve">traditional finance literature is to study how investors manage their wealth in the context of risk-return balance.  According to Maude (2006,) </w:t>
      </w:r>
      <w:r w:rsidR="005C46B9" w:rsidRPr="00DD6FAC">
        <w:rPr>
          <w:rFonts w:ascii="Times New Roman" w:hAnsi="Times New Roman"/>
          <w:sz w:val="24"/>
          <w:szCs w:val="24"/>
        </w:rPr>
        <w:t xml:space="preserve">and our analysis in the previous section, </w:t>
      </w:r>
      <w:r w:rsidRPr="00DD6FAC">
        <w:rPr>
          <w:rFonts w:ascii="Times New Roman" w:hAnsi="Times New Roman"/>
          <w:sz w:val="24"/>
          <w:szCs w:val="24"/>
        </w:rPr>
        <w:t xml:space="preserve">traditional European private banking clients tend to manage their wealth from a wealth preservation perspective, whereas both Dufey (2009) and Lye (2011) observed that Asian private banking clients tend to manage their wealth </w:t>
      </w:r>
      <w:r w:rsidR="005C46B9" w:rsidRPr="00DD6FAC">
        <w:rPr>
          <w:rFonts w:ascii="Times New Roman" w:hAnsi="Times New Roman"/>
          <w:sz w:val="24"/>
          <w:szCs w:val="24"/>
        </w:rPr>
        <w:t xml:space="preserve">with </w:t>
      </w:r>
      <w:r w:rsidRPr="00DD6FAC">
        <w:rPr>
          <w:rFonts w:ascii="Times New Roman" w:hAnsi="Times New Roman"/>
          <w:sz w:val="24"/>
          <w:szCs w:val="24"/>
        </w:rPr>
        <w:t xml:space="preserve">a wealth building outlook.  </w:t>
      </w:r>
      <w:r w:rsidR="005C46B9" w:rsidRPr="00DD6FAC">
        <w:rPr>
          <w:rFonts w:ascii="Times New Roman" w:hAnsi="Times New Roman"/>
          <w:sz w:val="24"/>
          <w:szCs w:val="24"/>
        </w:rPr>
        <w:t xml:space="preserve">This behavioral preference is labelled “Wealth building” in Chung </w:t>
      </w:r>
      <w:r w:rsidR="009F04A4">
        <w:rPr>
          <w:rFonts w:ascii="Times New Roman" w:hAnsi="Times New Roman"/>
          <w:sz w:val="24"/>
          <w:szCs w:val="24"/>
        </w:rPr>
        <w:t>et al.</w:t>
      </w:r>
      <w:r w:rsidR="005C46B9" w:rsidRPr="00DD6FAC">
        <w:rPr>
          <w:rFonts w:ascii="Times New Roman" w:hAnsi="Times New Roman"/>
          <w:sz w:val="24"/>
          <w:szCs w:val="24"/>
        </w:rPr>
        <w:t xml:space="preserve"> (2014.)</w:t>
      </w:r>
    </w:p>
    <w:p w:rsidR="00C863EC" w:rsidRPr="00DD6FAC" w:rsidRDefault="00D65CA5" w:rsidP="00DD6FAC">
      <w:pPr>
        <w:pStyle w:val="Heading3"/>
        <w:spacing w:line="480" w:lineRule="auto"/>
        <w:jc w:val="both"/>
        <w:rPr>
          <w:rFonts w:ascii="Times New Roman" w:hAnsi="Times New Roman" w:cs="Times New Roman"/>
          <w:color w:val="auto"/>
          <w:sz w:val="24"/>
          <w:szCs w:val="24"/>
        </w:rPr>
      </w:pPr>
      <w:r w:rsidRPr="00DD6FAC">
        <w:rPr>
          <w:rFonts w:ascii="Times New Roman" w:hAnsi="Times New Roman" w:cs="Times New Roman"/>
          <w:color w:val="auto"/>
          <w:sz w:val="24"/>
          <w:szCs w:val="24"/>
        </w:rPr>
        <w:t xml:space="preserve">Behavior towards </w:t>
      </w:r>
      <w:r w:rsidR="0038372D" w:rsidRPr="00DD6FAC">
        <w:rPr>
          <w:rFonts w:ascii="Times New Roman" w:hAnsi="Times New Roman" w:cs="Times New Roman"/>
          <w:color w:val="auto"/>
          <w:sz w:val="24"/>
          <w:szCs w:val="24"/>
        </w:rPr>
        <w:t xml:space="preserve">Risk </w:t>
      </w:r>
    </w:p>
    <w:p w:rsidR="00C863EC" w:rsidRPr="00DD6FAC" w:rsidRDefault="00C863EC" w:rsidP="00DD6FAC">
      <w:pPr>
        <w:spacing w:line="480" w:lineRule="auto"/>
        <w:jc w:val="both"/>
        <w:rPr>
          <w:rFonts w:ascii="Times New Roman" w:hAnsi="Times New Roman"/>
          <w:sz w:val="24"/>
          <w:szCs w:val="24"/>
        </w:rPr>
      </w:pPr>
      <w:r w:rsidRPr="00DD6FAC">
        <w:rPr>
          <w:rFonts w:ascii="Times New Roman" w:hAnsi="Times New Roman"/>
          <w:sz w:val="24"/>
          <w:szCs w:val="24"/>
        </w:rPr>
        <w:t xml:space="preserve">A nature extension of the wealth preservation versus wealth building bias would be HNWIs’ </w:t>
      </w:r>
      <w:r w:rsidR="005C46B9" w:rsidRPr="00DD6FAC">
        <w:rPr>
          <w:rFonts w:ascii="Times New Roman" w:hAnsi="Times New Roman"/>
          <w:sz w:val="24"/>
          <w:szCs w:val="24"/>
        </w:rPr>
        <w:t xml:space="preserve">behavior in the light of </w:t>
      </w:r>
      <w:r w:rsidRPr="00DD6FAC">
        <w:rPr>
          <w:rFonts w:ascii="Times New Roman" w:hAnsi="Times New Roman"/>
          <w:sz w:val="24"/>
          <w:szCs w:val="24"/>
        </w:rPr>
        <w:t xml:space="preserve">risks.  While Maude (2006) indicated that European clients tend to be risk averse, Dufey (2009) detected a willingness to take risk by Asian private banking clients.  This is consistent with Lye (2011)’s observation of increased aggression by Asian clients.  </w:t>
      </w:r>
      <w:r w:rsidR="00D65CA5" w:rsidRPr="00DD6FAC">
        <w:rPr>
          <w:rFonts w:ascii="Times New Roman" w:hAnsi="Times New Roman"/>
          <w:sz w:val="24"/>
          <w:szCs w:val="24"/>
        </w:rPr>
        <w:t>From 4Es segmentation perspective, it is expected that “</w:t>
      </w:r>
      <w:r w:rsidR="00D65CA5" w:rsidRPr="00DD6FAC">
        <w:rPr>
          <w:rFonts w:ascii="Times New Roman" w:hAnsi="Times New Roman"/>
          <w:i/>
          <w:sz w:val="24"/>
          <w:szCs w:val="24"/>
        </w:rPr>
        <w:t>Entrepreneurs</w:t>
      </w:r>
      <w:r w:rsidR="00D65CA5" w:rsidRPr="00DD6FAC">
        <w:rPr>
          <w:rFonts w:ascii="Times New Roman" w:hAnsi="Times New Roman"/>
          <w:sz w:val="24"/>
          <w:szCs w:val="24"/>
        </w:rPr>
        <w:t xml:space="preserve">” will tend to be less risk averse than the other segments.  This behavior is labelled “attitude towards risks” in Chung </w:t>
      </w:r>
      <w:r w:rsidR="009F04A4">
        <w:rPr>
          <w:rFonts w:ascii="Times New Roman" w:hAnsi="Times New Roman"/>
          <w:sz w:val="24"/>
          <w:szCs w:val="24"/>
        </w:rPr>
        <w:t>et al.</w:t>
      </w:r>
      <w:r w:rsidR="00D65CA5" w:rsidRPr="00DD6FAC">
        <w:rPr>
          <w:rFonts w:ascii="Times New Roman" w:hAnsi="Times New Roman"/>
          <w:sz w:val="24"/>
          <w:szCs w:val="24"/>
        </w:rPr>
        <w:t xml:space="preserve"> (2014.)</w:t>
      </w:r>
      <w:r w:rsidRPr="00DD6FAC">
        <w:rPr>
          <w:rFonts w:ascii="Times New Roman" w:hAnsi="Times New Roman"/>
          <w:sz w:val="24"/>
          <w:szCs w:val="24"/>
        </w:rPr>
        <w:t xml:space="preserve"> </w:t>
      </w:r>
    </w:p>
    <w:p w:rsidR="00C114A9" w:rsidRPr="00DD6FAC" w:rsidRDefault="009F3ACB" w:rsidP="00DD6FAC">
      <w:pPr>
        <w:pStyle w:val="Heading3"/>
        <w:spacing w:line="480" w:lineRule="auto"/>
        <w:jc w:val="both"/>
        <w:rPr>
          <w:rFonts w:ascii="Times New Roman" w:hAnsi="Times New Roman" w:cs="Times New Roman"/>
          <w:color w:val="auto"/>
          <w:sz w:val="24"/>
          <w:szCs w:val="24"/>
        </w:rPr>
      </w:pPr>
      <w:r w:rsidRPr="00DD6FAC">
        <w:rPr>
          <w:rFonts w:ascii="Times New Roman" w:hAnsi="Times New Roman" w:cs="Times New Roman"/>
          <w:color w:val="auto"/>
          <w:sz w:val="24"/>
          <w:szCs w:val="24"/>
        </w:rPr>
        <w:t>Use of Novel Instruments</w:t>
      </w:r>
      <w:r w:rsidR="00D65CA5" w:rsidRPr="00DD6FAC">
        <w:rPr>
          <w:rFonts w:ascii="Times New Roman" w:hAnsi="Times New Roman" w:cs="Times New Roman"/>
          <w:color w:val="auto"/>
          <w:sz w:val="24"/>
          <w:szCs w:val="24"/>
        </w:rPr>
        <w:t xml:space="preserve"> </w:t>
      </w:r>
    </w:p>
    <w:p w:rsidR="0007387C" w:rsidRPr="00DD6FAC" w:rsidRDefault="00D65CA5" w:rsidP="00DD6FAC">
      <w:pPr>
        <w:spacing w:line="480" w:lineRule="auto"/>
        <w:jc w:val="both"/>
        <w:rPr>
          <w:rFonts w:ascii="Times New Roman" w:hAnsi="Times New Roman"/>
          <w:sz w:val="24"/>
          <w:szCs w:val="24"/>
        </w:rPr>
      </w:pPr>
      <w:proofErr w:type="spellStart"/>
      <w:r w:rsidRPr="00DD6FAC">
        <w:rPr>
          <w:rFonts w:ascii="Times New Roman" w:hAnsi="Times New Roman"/>
          <w:sz w:val="24"/>
          <w:szCs w:val="24"/>
        </w:rPr>
        <w:t>Dufey</w:t>
      </w:r>
      <w:proofErr w:type="spellEnd"/>
      <w:r w:rsidRPr="00DD6FAC">
        <w:rPr>
          <w:rFonts w:ascii="Times New Roman" w:hAnsi="Times New Roman"/>
          <w:sz w:val="24"/>
          <w:szCs w:val="24"/>
        </w:rPr>
        <w:t xml:space="preserve"> (2009) observed that the “new-moneys” are not shy from exotic instruments.  This is examined in Chung </w:t>
      </w:r>
      <w:r w:rsidR="009F04A4">
        <w:rPr>
          <w:rFonts w:ascii="Times New Roman" w:hAnsi="Times New Roman"/>
          <w:sz w:val="24"/>
          <w:szCs w:val="24"/>
        </w:rPr>
        <w:t>et al.</w:t>
      </w:r>
      <w:r w:rsidRPr="00DD6FAC">
        <w:rPr>
          <w:rFonts w:ascii="Times New Roman" w:hAnsi="Times New Roman"/>
          <w:sz w:val="24"/>
          <w:szCs w:val="24"/>
        </w:rPr>
        <w:t xml:space="preserve"> (2014) under the label of “use of novel instruments.” </w:t>
      </w:r>
    </w:p>
    <w:p w:rsidR="0007387C" w:rsidRPr="00DD6FAC" w:rsidRDefault="0007387C" w:rsidP="00DD6FAC">
      <w:pPr>
        <w:pStyle w:val="Heading3"/>
        <w:spacing w:line="480" w:lineRule="auto"/>
        <w:jc w:val="both"/>
        <w:rPr>
          <w:rFonts w:ascii="Times New Roman" w:hAnsi="Times New Roman" w:cs="Times New Roman"/>
          <w:color w:val="auto"/>
          <w:sz w:val="24"/>
          <w:szCs w:val="24"/>
        </w:rPr>
      </w:pPr>
      <w:r w:rsidRPr="00DD6FAC">
        <w:rPr>
          <w:rFonts w:ascii="Times New Roman" w:hAnsi="Times New Roman" w:cs="Times New Roman"/>
          <w:color w:val="auto"/>
          <w:sz w:val="24"/>
          <w:szCs w:val="24"/>
        </w:rPr>
        <w:t xml:space="preserve">International v. Domestic Orientation </w:t>
      </w:r>
    </w:p>
    <w:p w:rsidR="0007387C" w:rsidRPr="00DD6FAC" w:rsidRDefault="0007387C" w:rsidP="00DD6FAC">
      <w:pPr>
        <w:spacing w:line="480" w:lineRule="auto"/>
        <w:jc w:val="both"/>
        <w:rPr>
          <w:rFonts w:ascii="Times New Roman" w:hAnsi="Times New Roman"/>
          <w:sz w:val="24"/>
          <w:szCs w:val="24"/>
        </w:rPr>
      </w:pPr>
      <w:r w:rsidRPr="00DD6FAC">
        <w:rPr>
          <w:rFonts w:ascii="Times New Roman" w:hAnsi="Times New Roman"/>
          <w:sz w:val="24"/>
          <w:szCs w:val="24"/>
        </w:rPr>
        <w:t>In addition to investing in different types of assets</w:t>
      </w:r>
      <w:r w:rsidR="00696A55" w:rsidRPr="00DD6FAC">
        <w:rPr>
          <w:rFonts w:ascii="Times New Roman" w:hAnsi="Times New Roman"/>
          <w:sz w:val="24"/>
          <w:szCs w:val="24"/>
        </w:rPr>
        <w:t xml:space="preserve"> and in the various asset classes</w:t>
      </w:r>
      <w:r w:rsidRPr="00DD6FAC">
        <w:rPr>
          <w:rFonts w:ascii="Times New Roman" w:hAnsi="Times New Roman"/>
          <w:sz w:val="24"/>
          <w:szCs w:val="24"/>
        </w:rPr>
        <w:t xml:space="preserve">, </w:t>
      </w:r>
      <w:r w:rsidR="00696A55" w:rsidRPr="00DD6FAC">
        <w:rPr>
          <w:rFonts w:ascii="Times New Roman" w:hAnsi="Times New Roman"/>
          <w:sz w:val="24"/>
          <w:szCs w:val="24"/>
        </w:rPr>
        <w:t xml:space="preserve">a </w:t>
      </w:r>
      <w:r w:rsidRPr="00DD6FAC">
        <w:rPr>
          <w:rFonts w:ascii="Times New Roman" w:hAnsi="Times New Roman"/>
          <w:sz w:val="24"/>
          <w:szCs w:val="24"/>
        </w:rPr>
        <w:t xml:space="preserve">key offering by private banks is </w:t>
      </w:r>
      <w:r w:rsidR="00696A55" w:rsidRPr="00DD6FAC">
        <w:rPr>
          <w:rFonts w:ascii="Times New Roman" w:hAnsi="Times New Roman"/>
          <w:sz w:val="24"/>
          <w:szCs w:val="24"/>
        </w:rPr>
        <w:t xml:space="preserve">to </w:t>
      </w:r>
      <w:r w:rsidRPr="00DD6FAC">
        <w:rPr>
          <w:rFonts w:ascii="Times New Roman" w:hAnsi="Times New Roman"/>
          <w:sz w:val="24"/>
          <w:szCs w:val="24"/>
        </w:rPr>
        <w:t>help</w:t>
      </w:r>
      <w:r w:rsidR="00696A55" w:rsidRPr="00DD6FAC">
        <w:rPr>
          <w:rFonts w:ascii="Times New Roman" w:hAnsi="Times New Roman"/>
          <w:sz w:val="24"/>
          <w:szCs w:val="24"/>
        </w:rPr>
        <w:t xml:space="preserve"> </w:t>
      </w:r>
      <w:r w:rsidRPr="00DD6FAC">
        <w:rPr>
          <w:rFonts w:ascii="Times New Roman" w:hAnsi="Times New Roman"/>
          <w:sz w:val="24"/>
          <w:szCs w:val="24"/>
        </w:rPr>
        <w:t>clients go beyond the</w:t>
      </w:r>
      <w:r w:rsidR="00696A55" w:rsidRPr="00DD6FAC">
        <w:rPr>
          <w:rFonts w:ascii="Times New Roman" w:hAnsi="Times New Roman"/>
          <w:sz w:val="24"/>
          <w:szCs w:val="24"/>
        </w:rPr>
        <w:t>ir</w:t>
      </w:r>
      <w:r w:rsidRPr="00DD6FAC">
        <w:rPr>
          <w:rFonts w:ascii="Times New Roman" w:hAnsi="Times New Roman"/>
          <w:sz w:val="24"/>
          <w:szCs w:val="24"/>
        </w:rPr>
        <w:t xml:space="preserve"> domestic market overseas.  </w:t>
      </w:r>
      <w:r w:rsidRPr="00DD6FAC">
        <w:rPr>
          <w:rFonts w:ascii="Times New Roman" w:hAnsi="Times New Roman"/>
          <w:sz w:val="24"/>
          <w:szCs w:val="24"/>
        </w:rPr>
        <w:lastRenderedPageBreak/>
        <w:t xml:space="preserve">Dufey (2009) commented that “Another unique feature of private banking in Asia is based on the fact that almost all is ‘offshore’ i.e. of a trans-border nature.” (p. 6.)  </w:t>
      </w:r>
    </w:p>
    <w:p w:rsidR="009B3D77" w:rsidRPr="00DD6FAC" w:rsidRDefault="0007387C" w:rsidP="00DD6FAC">
      <w:pPr>
        <w:spacing w:line="480" w:lineRule="auto"/>
        <w:jc w:val="both"/>
        <w:rPr>
          <w:rFonts w:ascii="Times New Roman" w:hAnsi="Times New Roman"/>
          <w:sz w:val="24"/>
          <w:szCs w:val="24"/>
        </w:rPr>
      </w:pPr>
      <w:r w:rsidRPr="00DD6FAC">
        <w:rPr>
          <w:rFonts w:ascii="Times New Roman" w:hAnsi="Times New Roman"/>
          <w:sz w:val="24"/>
          <w:szCs w:val="24"/>
        </w:rPr>
        <w:t xml:space="preserve">The ability to expand the already rich investment opportunity set that include traditional as well as alternative investments to developed as well as emerging markets overseas certainly </w:t>
      </w:r>
      <w:r w:rsidR="00696A55" w:rsidRPr="00DD6FAC">
        <w:rPr>
          <w:rFonts w:ascii="Times New Roman" w:hAnsi="Times New Roman"/>
          <w:sz w:val="24"/>
          <w:szCs w:val="24"/>
        </w:rPr>
        <w:t xml:space="preserve">effectively expands </w:t>
      </w:r>
      <w:r w:rsidRPr="00DD6FAC">
        <w:rPr>
          <w:rFonts w:ascii="Times New Roman" w:hAnsi="Times New Roman"/>
          <w:sz w:val="24"/>
          <w:szCs w:val="24"/>
        </w:rPr>
        <w:t xml:space="preserve">the efficient frontier for </w:t>
      </w:r>
      <w:r w:rsidR="00696A55" w:rsidRPr="00DD6FAC">
        <w:rPr>
          <w:rFonts w:ascii="Times New Roman" w:hAnsi="Times New Roman"/>
          <w:sz w:val="24"/>
          <w:szCs w:val="24"/>
        </w:rPr>
        <w:t xml:space="preserve">private banking </w:t>
      </w:r>
      <w:r w:rsidRPr="00DD6FAC">
        <w:rPr>
          <w:rFonts w:ascii="Times New Roman" w:hAnsi="Times New Roman"/>
          <w:sz w:val="24"/>
          <w:szCs w:val="24"/>
        </w:rPr>
        <w:t xml:space="preserve">clients.  However, this also significantly complicates the choice by these clients.  Behavioral </w:t>
      </w:r>
      <w:r w:rsidR="00696A55" w:rsidRPr="00DD6FAC">
        <w:rPr>
          <w:rFonts w:ascii="Times New Roman" w:hAnsi="Times New Roman"/>
          <w:sz w:val="24"/>
          <w:szCs w:val="24"/>
        </w:rPr>
        <w:t xml:space="preserve">preference in this area is examined under “international v. domestic bias” in Chung </w:t>
      </w:r>
      <w:r w:rsidR="009F04A4">
        <w:rPr>
          <w:rFonts w:ascii="Times New Roman" w:hAnsi="Times New Roman"/>
          <w:sz w:val="24"/>
          <w:szCs w:val="24"/>
        </w:rPr>
        <w:t>et al.</w:t>
      </w:r>
      <w:r w:rsidR="00696A55" w:rsidRPr="00DD6FAC">
        <w:rPr>
          <w:rFonts w:ascii="Times New Roman" w:hAnsi="Times New Roman"/>
          <w:sz w:val="24"/>
          <w:szCs w:val="24"/>
        </w:rPr>
        <w:t xml:space="preserve"> (2014.)</w:t>
      </w:r>
      <w:r w:rsidRPr="00DD6FAC">
        <w:rPr>
          <w:rFonts w:ascii="Times New Roman" w:hAnsi="Times New Roman"/>
          <w:sz w:val="24"/>
          <w:szCs w:val="24"/>
        </w:rPr>
        <w:t xml:space="preserve">  </w:t>
      </w:r>
    </w:p>
    <w:p w:rsidR="009B3D77" w:rsidRPr="00DD6FAC" w:rsidRDefault="009B3D77" w:rsidP="00DD6FAC">
      <w:pPr>
        <w:pStyle w:val="Heading3"/>
        <w:spacing w:line="480" w:lineRule="auto"/>
        <w:jc w:val="both"/>
        <w:rPr>
          <w:rFonts w:ascii="Times New Roman" w:hAnsi="Times New Roman" w:cs="Times New Roman"/>
          <w:color w:val="auto"/>
          <w:sz w:val="24"/>
          <w:szCs w:val="24"/>
        </w:rPr>
      </w:pPr>
      <w:r w:rsidRPr="00DD6FAC">
        <w:rPr>
          <w:rFonts w:ascii="Times New Roman" w:hAnsi="Times New Roman" w:cs="Times New Roman"/>
          <w:color w:val="auto"/>
          <w:sz w:val="24"/>
          <w:szCs w:val="24"/>
        </w:rPr>
        <w:t xml:space="preserve">Use of Credit </w:t>
      </w:r>
    </w:p>
    <w:p w:rsidR="00C863EC" w:rsidRPr="00DD6FAC" w:rsidRDefault="00C863EC" w:rsidP="00DD6FAC">
      <w:pPr>
        <w:spacing w:line="480" w:lineRule="auto"/>
        <w:jc w:val="both"/>
        <w:rPr>
          <w:rFonts w:ascii="Times New Roman" w:hAnsi="Times New Roman"/>
          <w:sz w:val="24"/>
          <w:szCs w:val="24"/>
        </w:rPr>
      </w:pPr>
      <w:r w:rsidRPr="00DD6FAC">
        <w:rPr>
          <w:rFonts w:ascii="Times New Roman" w:hAnsi="Times New Roman"/>
          <w:sz w:val="24"/>
          <w:szCs w:val="24"/>
        </w:rPr>
        <w:t xml:space="preserve">Finally, both </w:t>
      </w:r>
      <w:proofErr w:type="spellStart"/>
      <w:r w:rsidRPr="00DD6FAC">
        <w:rPr>
          <w:rFonts w:ascii="Times New Roman" w:hAnsi="Times New Roman"/>
          <w:sz w:val="24"/>
          <w:szCs w:val="24"/>
        </w:rPr>
        <w:t>Dufey</w:t>
      </w:r>
      <w:proofErr w:type="spellEnd"/>
      <w:r w:rsidRPr="00DD6FAC">
        <w:rPr>
          <w:rFonts w:ascii="Times New Roman" w:hAnsi="Times New Roman"/>
          <w:sz w:val="24"/>
          <w:szCs w:val="24"/>
        </w:rPr>
        <w:t xml:space="preserve"> (2009) and Lye (2011) observed that Asian client</w:t>
      </w:r>
      <w:r w:rsidR="00D25AE3" w:rsidRPr="00DD6FAC">
        <w:rPr>
          <w:rFonts w:ascii="Times New Roman" w:hAnsi="Times New Roman"/>
          <w:sz w:val="24"/>
          <w:szCs w:val="24"/>
        </w:rPr>
        <w:t>, mostly in the “</w:t>
      </w:r>
      <w:r w:rsidR="00D25AE3" w:rsidRPr="00DD6FAC">
        <w:rPr>
          <w:rFonts w:ascii="Times New Roman" w:hAnsi="Times New Roman"/>
          <w:i/>
          <w:sz w:val="24"/>
          <w:szCs w:val="24"/>
        </w:rPr>
        <w:t>Executives</w:t>
      </w:r>
      <w:r w:rsidR="00D25AE3" w:rsidRPr="00DD6FAC">
        <w:rPr>
          <w:rFonts w:ascii="Times New Roman" w:hAnsi="Times New Roman"/>
          <w:sz w:val="24"/>
          <w:szCs w:val="24"/>
        </w:rPr>
        <w:t>” segment,</w:t>
      </w:r>
      <w:r w:rsidRPr="00DD6FAC">
        <w:rPr>
          <w:rFonts w:ascii="Times New Roman" w:hAnsi="Times New Roman"/>
          <w:sz w:val="24"/>
          <w:szCs w:val="24"/>
        </w:rPr>
        <w:t xml:space="preserve"> frequently look for the private bank to provide them access to credit</w:t>
      </w:r>
      <w:r w:rsidR="009B3D77" w:rsidRPr="00DD6FAC">
        <w:rPr>
          <w:rFonts w:ascii="Times New Roman" w:hAnsi="Times New Roman"/>
          <w:sz w:val="24"/>
          <w:szCs w:val="24"/>
        </w:rPr>
        <w:t xml:space="preserve"> (i.e., advising on the right hand side of the client’s balance sheet)</w:t>
      </w:r>
      <w:r w:rsidRPr="00DD6FAC">
        <w:rPr>
          <w:rFonts w:ascii="Times New Roman" w:hAnsi="Times New Roman"/>
          <w:sz w:val="24"/>
          <w:szCs w:val="24"/>
        </w:rPr>
        <w:t xml:space="preserve"> to support </w:t>
      </w:r>
      <w:r w:rsidR="000D2ADA" w:rsidRPr="00DD6FAC">
        <w:rPr>
          <w:rFonts w:ascii="Times New Roman" w:hAnsi="Times New Roman"/>
          <w:sz w:val="24"/>
          <w:szCs w:val="24"/>
        </w:rPr>
        <w:t xml:space="preserve">the </w:t>
      </w:r>
      <w:r w:rsidRPr="00DD6FAC">
        <w:rPr>
          <w:rFonts w:ascii="Times New Roman" w:hAnsi="Times New Roman"/>
          <w:sz w:val="24"/>
          <w:szCs w:val="24"/>
        </w:rPr>
        <w:t>growth of business operations, rather than simply asset management</w:t>
      </w:r>
      <w:r w:rsidR="009B3D77" w:rsidRPr="00DD6FAC">
        <w:rPr>
          <w:rFonts w:ascii="Times New Roman" w:hAnsi="Times New Roman"/>
          <w:sz w:val="24"/>
          <w:szCs w:val="24"/>
        </w:rPr>
        <w:t xml:space="preserve"> services (i.e., advising on the left hand side of the client’s balance sheet.)</w:t>
      </w:r>
      <w:r w:rsidRPr="00DD6FAC">
        <w:rPr>
          <w:rFonts w:ascii="Times New Roman" w:hAnsi="Times New Roman"/>
          <w:sz w:val="24"/>
          <w:szCs w:val="24"/>
        </w:rPr>
        <w:t xml:space="preserve">  This difference in balance sheet focus (asset v. credit) </w:t>
      </w:r>
      <w:r w:rsidR="000D2ADA" w:rsidRPr="00DD6FAC">
        <w:rPr>
          <w:rFonts w:ascii="Times New Roman" w:hAnsi="Times New Roman"/>
          <w:sz w:val="24"/>
          <w:szCs w:val="24"/>
        </w:rPr>
        <w:t xml:space="preserve">is examined in Chung </w:t>
      </w:r>
      <w:r w:rsidR="009F04A4">
        <w:rPr>
          <w:rFonts w:ascii="Times New Roman" w:hAnsi="Times New Roman"/>
          <w:sz w:val="24"/>
          <w:szCs w:val="24"/>
        </w:rPr>
        <w:t>et al.</w:t>
      </w:r>
      <w:r w:rsidR="000D2ADA" w:rsidRPr="00DD6FAC">
        <w:rPr>
          <w:rFonts w:ascii="Times New Roman" w:hAnsi="Times New Roman"/>
          <w:sz w:val="24"/>
          <w:szCs w:val="24"/>
        </w:rPr>
        <w:t xml:space="preserve"> (2014) under </w:t>
      </w:r>
      <w:r w:rsidR="00D25AE3" w:rsidRPr="00DD6FAC">
        <w:rPr>
          <w:rFonts w:ascii="Times New Roman" w:hAnsi="Times New Roman"/>
          <w:sz w:val="24"/>
          <w:szCs w:val="24"/>
        </w:rPr>
        <w:t>“b</w:t>
      </w:r>
      <w:r w:rsidR="000D2ADA" w:rsidRPr="00DD6FAC">
        <w:rPr>
          <w:rFonts w:ascii="Times New Roman" w:hAnsi="Times New Roman"/>
          <w:sz w:val="24"/>
          <w:szCs w:val="24"/>
        </w:rPr>
        <w:t>alance sheet focus</w:t>
      </w:r>
      <w:r w:rsidRPr="00DD6FAC">
        <w:rPr>
          <w:rFonts w:ascii="Times New Roman" w:hAnsi="Times New Roman"/>
          <w:sz w:val="24"/>
          <w:szCs w:val="24"/>
        </w:rPr>
        <w:t>.</w:t>
      </w:r>
      <w:r w:rsidR="000D2ADA" w:rsidRPr="00DD6FAC">
        <w:rPr>
          <w:rFonts w:ascii="Times New Roman" w:hAnsi="Times New Roman"/>
          <w:sz w:val="24"/>
          <w:szCs w:val="24"/>
        </w:rPr>
        <w:t>”</w:t>
      </w:r>
      <w:r w:rsidRPr="00DD6FAC">
        <w:rPr>
          <w:rFonts w:ascii="Times New Roman" w:hAnsi="Times New Roman"/>
          <w:sz w:val="24"/>
          <w:szCs w:val="24"/>
        </w:rPr>
        <w:t xml:space="preserve">  </w:t>
      </w:r>
    </w:p>
    <w:p w:rsidR="00F47290" w:rsidRPr="00DD6FAC" w:rsidRDefault="00A117E4" w:rsidP="00DD6FAC">
      <w:pPr>
        <w:spacing w:line="480" w:lineRule="auto"/>
        <w:jc w:val="both"/>
        <w:rPr>
          <w:rFonts w:ascii="Times New Roman" w:hAnsi="Times New Roman"/>
          <w:sz w:val="24"/>
          <w:szCs w:val="24"/>
        </w:rPr>
      </w:pPr>
      <w:r w:rsidRPr="00DD6FAC">
        <w:rPr>
          <w:rFonts w:ascii="Times New Roman" w:hAnsi="Times New Roman"/>
          <w:sz w:val="24"/>
          <w:szCs w:val="24"/>
        </w:rPr>
        <w:t xml:space="preserve">Table </w:t>
      </w:r>
      <w:r w:rsidR="00D65CA5" w:rsidRPr="00DD6FAC">
        <w:rPr>
          <w:rFonts w:ascii="Times New Roman" w:hAnsi="Times New Roman"/>
          <w:sz w:val="24"/>
          <w:szCs w:val="24"/>
        </w:rPr>
        <w:t>2</w:t>
      </w:r>
      <w:r w:rsidR="00C863EC" w:rsidRPr="00DD6FAC">
        <w:rPr>
          <w:rFonts w:ascii="Times New Roman" w:hAnsi="Times New Roman"/>
          <w:sz w:val="24"/>
          <w:szCs w:val="24"/>
        </w:rPr>
        <w:t xml:space="preserve"> summarizes the behavioral characteristics </w:t>
      </w:r>
      <w:r w:rsidR="00D25AE3" w:rsidRPr="00DD6FAC">
        <w:rPr>
          <w:rFonts w:ascii="Times New Roman" w:hAnsi="Times New Roman"/>
          <w:sz w:val="24"/>
          <w:szCs w:val="24"/>
        </w:rPr>
        <w:t xml:space="preserve">from that </w:t>
      </w:r>
      <w:r w:rsidR="00C863EC" w:rsidRPr="00DD6FAC">
        <w:rPr>
          <w:rFonts w:ascii="Times New Roman" w:hAnsi="Times New Roman"/>
          <w:sz w:val="24"/>
          <w:szCs w:val="24"/>
        </w:rPr>
        <w:t>study.</w:t>
      </w:r>
    </w:p>
    <w:p w:rsidR="002C67F9" w:rsidRPr="00DD6FAC" w:rsidRDefault="002C67F9" w:rsidP="00DD6FAC">
      <w:pPr>
        <w:pStyle w:val="Heading2"/>
        <w:spacing w:line="480" w:lineRule="auto"/>
        <w:jc w:val="both"/>
        <w:rPr>
          <w:rFonts w:ascii="Times New Roman" w:hAnsi="Times New Roman" w:cs="Times New Roman"/>
          <w:sz w:val="24"/>
          <w:szCs w:val="24"/>
        </w:rPr>
      </w:pPr>
      <w:r w:rsidRPr="00DD6FAC">
        <w:rPr>
          <w:rFonts w:ascii="Times New Roman" w:hAnsi="Times New Roman" w:cs="Times New Roman"/>
          <w:sz w:val="24"/>
          <w:szCs w:val="24"/>
        </w:rPr>
        <w:t>Research Methods</w:t>
      </w:r>
    </w:p>
    <w:p w:rsidR="002C67F9" w:rsidRPr="00DD6FAC" w:rsidRDefault="002C67F9" w:rsidP="00DD6FAC">
      <w:pPr>
        <w:spacing w:before="100" w:beforeAutospacing="1" w:after="100" w:afterAutospacing="1" w:line="480" w:lineRule="auto"/>
        <w:jc w:val="both"/>
        <w:rPr>
          <w:rFonts w:ascii="Times New Roman" w:eastAsia="Times New Roman" w:hAnsi="Times New Roman"/>
          <w:sz w:val="24"/>
          <w:szCs w:val="24"/>
        </w:rPr>
      </w:pPr>
      <w:r w:rsidRPr="00DD6FAC">
        <w:rPr>
          <w:rFonts w:ascii="Times New Roman" w:eastAsia="Times New Roman" w:hAnsi="Times New Roman"/>
          <w:sz w:val="24"/>
          <w:szCs w:val="24"/>
        </w:rPr>
        <w:t xml:space="preserve">Obtaining of data for this type of study </w:t>
      </w:r>
      <w:r w:rsidR="00D25AE3" w:rsidRPr="00DD6FAC">
        <w:rPr>
          <w:rFonts w:ascii="Times New Roman" w:eastAsia="Times New Roman" w:hAnsi="Times New Roman"/>
          <w:sz w:val="24"/>
          <w:szCs w:val="24"/>
        </w:rPr>
        <w:t xml:space="preserve">represents </w:t>
      </w:r>
      <w:r w:rsidRPr="00DD6FAC">
        <w:rPr>
          <w:rFonts w:ascii="Times New Roman" w:eastAsia="Times New Roman" w:hAnsi="Times New Roman"/>
          <w:sz w:val="24"/>
          <w:szCs w:val="24"/>
        </w:rPr>
        <w:t xml:space="preserve">a significant </w:t>
      </w:r>
      <w:r w:rsidR="00A501CE" w:rsidRPr="00DD6FAC">
        <w:rPr>
          <w:rFonts w:ascii="Times New Roman" w:eastAsia="Times New Roman" w:hAnsi="Times New Roman"/>
          <w:sz w:val="24"/>
          <w:szCs w:val="24"/>
        </w:rPr>
        <w:t>challenge</w:t>
      </w:r>
      <w:r w:rsidR="00D25AE3" w:rsidRPr="00DD6FAC">
        <w:rPr>
          <w:rFonts w:ascii="Times New Roman" w:eastAsia="Times New Roman" w:hAnsi="Times New Roman"/>
          <w:sz w:val="24"/>
          <w:szCs w:val="24"/>
        </w:rPr>
        <w:t xml:space="preserve"> as </w:t>
      </w:r>
      <w:r w:rsidRPr="00DD6FAC">
        <w:rPr>
          <w:rFonts w:ascii="Times New Roman" w:eastAsia="Times New Roman" w:hAnsi="Times New Roman"/>
          <w:sz w:val="24"/>
          <w:szCs w:val="24"/>
        </w:rPr>
        <w:t xml:space="preserve">private banking clients have a preference for privacy and secrecy.  In many cases, they do not want their identity to be revealed.  Furthermore, private banking clients frequently rely on </w:t>
      </w:r>
      <w:r w:rsidRPr="00DD6FAC">
        <w:rPr>
          <w:rFonts w:ascii="Times New Roman" w:eastAsia="Times New Roman" w:hAnsi="Times New Roman"/>
          <w:sz w:val="24"/>
          <w:szCs w:val="24"/>
        </w:rPr>
        <w:lastRenderedPageBreak/>
        <w:t xml:space="preserve">bankers </w:t>
      </w:r>
      <w:r w:rsidR="00D25AE3" w:rsidRPr="00DD6FAC">
        <w:rPr>
          <w:rFonts w:ascii="Times New Roman" w:eastAsia="Times New Roman" w:hAnsi="Times New Roman"/>
          <w:sz w:val="24"/>
          <w:szCs w:val="24"/>
        </w:rPr>
        <w:t xml:space="preserve">for advice </w:t>
      </w:r>
      <w:r w:rsidRPr="00DD6FAC">
        <w:rPr>
          <w:rFonts w:ascii="Times New Roman" w:eastAsia="Times New Roman" w:hAnsi="Times New Roman"/>
          <w:sz w:val="24"/>
          <w:szCs w:val="24"/>
        </w:rPr>
        <w:t xml:space="preserve">and </w:t>
      </w:r>
      <w:r w:rsidR="00D25AE3" w:rsidRPr="00DD6FAC">
        <w:rPr>
          <w:rFonts w:ascii="Times New Roman" w:eastAsia="Times New Roman" w:hAnsi="Times New Roman"/>
          <w:sz w:val="24"/>
          <w:szCs w:val="24"/>
        </w:rPr>
        <w:t xml:space="preserve">many </w:t>
      </w:r>
      <w:r w:rsidRPr="00DD6FAC">
        <w:rPr>
          <w:rFonts w:ascii="Times New Roman" w:eastAsia="Times New Roman" w:hAnsi="Times New Roman"/>
          <w:sz w:val="24"/>
          <w:szCs w:val="24"/>
        </w:rPr>
        <w:t xml:space="preserve">may not have the level of personal insights to able to clearly describe their behavior. </w:t>
      </w:r>
    </w:p>
    <w:p w:rsidR="002C67F9" w:rsidRPr="00DD6FAC" w:rsidRDefault="00D25AE3" w:rsidP="00DD6FAC">
      <w:pPr>
        <w:spacing w:before="100" w:beforeAutospacing="1" w:after="100" w:afterAutospacing="1" w:line="480" w:lineRule="auto"/>
        <w:jc w:val="both"/>
        <w:rPr>
          <w:rFonts w:ascii="Times New Roman" w:eastAsia="Times New Roman" w:hAnsi="Times New Roman"/>
          <w:sz w:val="24"/>
          <w:szCs w:val="24"/>
        </w:rPr>
      </w:pPr>
      <w:r w:rsidRPr="00DD6FAC">
        <w:rPr>
          <w:rFonts w:ascii="Times New Roman" w:eastAsia="Times New Roman" w:hAnsi="Times New Roman"/>
          <w:sz w:val="24"/>
          <w:szCs w:val="24"/>
        </w:rPr>
        <w:t>Fortunately, from a data collection perspective</w:t>
      </w:r>
      <w:r w:rsidR="002C67F9" w:rsidRPr="00DD6FAC">
        <w:rPr>
          <w:rFonts w:ascii="Times New Roman" w:eastAsia="Times New Roman" w:hAnsi="Times New Roman"/>
          <w:sz w:val="24"/>
          <w:szCs w:val="24"/>
        </w:rPr>
        <w:t>, the private banking relationship ha</w:t>
      </w:r>
      <w:r w:rsidR="00476A6A" w:rsidRPr="00DD6FAC">
        <w:rPr>
          <w:rFonts w:ascii="Times New Roman" w:eastAsia="Times New Roman" w:hAnsi="Times New Roman"/>
          <w:sz w:val="24"/>
          <w:szCs w:val="24"/>
        </w:rPr>
        <w:t>s</w:t>
      </w:r>
      <w:r w:rsidR="002C67F9" w:rsidRPr="00DD6FAC">
        <w:rPr>
          <w:rFonts w:ascii="Times New Roman" w:eastAsia="Times New Roman" w:hAnsi="Times New Roman"/>
          <w:sz w:val="24"/>
          <w:szCs w:val="24"/>
        </w:rPr>
        <w:t xml:space="preserve"> two parties, the client and the banker, and that an enhanced understanding of the </w:t>
      </w:r>
      <w:r w:rsidRPr="00DD6FAC">
        <w:rPr>
          <w:rFonts w:ascii="Times New Roman" w:eastAsia="Times New Roman" w:hAnsi="Times New Roman"/>
          <w:sz w:val="24"/>
          <w:szCs w:val="24"/>
        </w:rPr>
        <w:t xml:space="preserve">behavioral </w:t>
      </w:r>
      <w:r w:rsidR="002C67F9" w:rsidRPr="00DD6FAC">
        <w:rPr>
          <w:rFonts w:ascii="Times New Roman" w:eastAsia="Times New Roman" w:hAnsi="Times New Roman"/>
          <w:sz w:val="24"/>
          <w:szCs w:val="24"/>
        </w:rPr>
        <w:t xml:space="preserve">characteristics of their clients is of </w:t>
      </w:r>
      <w:r w:rsidR="00476A6A" w:rsidRPr="00DD6FAC">
        <w:rPr>
          <w:rFonts w:ascii="Times New Roman" w:eastAsia="Times New Roman" w:hAnsi="Times New Roman"/>
          <w:sz w:val="24"/>
          <w:szCs w:val="24"/>
        </w:rPr>
        <w:t xml:space="preserve">significant </w:t>
      </w:r>
      <w:r w:rsidR="002C67F9" w:rsidRPr="00DD6FAC">
        <w:rPr>
          <w:rFonts w:ascii="Times New Roman" w:eastAsia="Times New Roman" w:hAnsi="Times New Roman"/>
          <w:sz w:val="24"/>
          <w:szCs w:val="24"/>
        </w:rPr>
        <w:t>interest to the bankers</w:t>
      </w:r>
      <w:r w:rsidR="00476A6A" w:rsidRPr="00DD6FAC">
        <w:rPr>
          <w:rFonts w:ascii="Times New Roman" w:eastAsia="Times New Roman" w:hAnsi="Times New Roman"/>
          <w:sz w:val="24"/>
          <w:szCs w:val="24"/>
        </w:rPr>
        <w:t>.  As a result</w:t>
      </w:r>
      <w:r w:rsidR="002C67F9" w:rsidRPr="00DD6FAC">
        <w:rPr>
          <w:rFonts w:ascii="Times New Roman" w:eastAsia="Times New Roman" w:hAnsi="Times New Roman"/>
          <w:sz w:val="24"/>
          <w:szCs w:val="24"/>
        </w:rPr>
        <w:t>, an appropriate</w:t>
      </w:r>
      <w:r w:rsidR="00476A6A" w:rsidRPr="00DD6FAC">
        <w:rPr>
          <w:rFonts w:ascii="Times New Roman" w:eastAsia="Times New Roman" w:hAnsi="Times New Roman"/>
          <w:sz w:val="24"/>
          <w:szCs w:val="24"/>
        </w:rPr>
        <w:t>, and valuable,</w:t>
      </w:r>
      <w:r w:rsidR="002C67F9" w:rsidRPr="00DD6FAC">
        <w:rPr>
          <w:rFonts w:ascii="Times New Roman" w:eastAsia="Times New Roman" w:hAnsi="Times New Roman"/>
          <w:sz w:val="24"/>
          <w:szCs w:val="24"/>
        </w:rPr>
        <w:t xml:space="preserve"> source of information to the insight of client behavioral preferences emanates from the bankers and their assessment on clients’ behavioral characteristics.  The bankers are</w:t>
      </w:r>
      <w:r w:rsidR="00476A6A" w:rsidRPr="00DD6FAC">
        <w:rPr>
          <w:rFonts w:ascii="Times New Roman" w:eastAsia="Times New Roman" w:hAnsi="Times New Roman"/>
          <w:sz w:val="24"/>
          <w:szCs w:val="24"/>
        </w:rPr>
        <w:t>, therefore,</w:t>
      </w:r>
      <w:r w:rsidR="002C67F9" w:rsidRPr="00DD6FAC">
        <w:rPr>
          <w:rFonts w:ascii="Times New Roman" w:eastAsia="Times New Roman" w:hAnsi="Times New Roman"/>
          <w:sz w:val="24"/>
          <w:szCs w:val="24"/>
        </w:rPr>
        <w:t xml:space="preserve"> ideal candidates for th</w:t>
      </w:r>
      <w:r w:rsidR="00476A6A" w:rsidRPr="00DD6FAC">
        <w:rPr>
          <w:rFonts w:ascii="Times New Roman" w:eastAsia="Times New Roman" w:hAnsi="Times New Roman"/>
          <w:sz w:val="24"/>
          <w:szCs w:val="24"/>
        </w:rPr>
        <w:t>is</w:t>
      </w:r>
      <w:r w:rsidR="002C67F9" w:rsidRPr="00DD6FAC">
        <w:rPr>
          <w:rFonts w:ascii="Times New Roman" w:eastAsia="Times New Roman" w:hAnsi="Times New Roman"/>
          <w:sz w:val="24"/>
          <w:szCs w:val="24"/>
        </w:rPr>
        <w:t xml:space="preserve"> research as they rep</w:t>
      </w:r>
      <w:r w:rsidR="00E32F1C">
        <w:rPr>
          <w:rFonts w:ascii="Times New Roman" w:eastAsia="Times New Roman" w:hAnsi="Times New Roman"/>
          <w:sz w:val="24"/>
          <w:szCs w:val="24"/>
        </w:rPr>
        <w:t>resent professionals who advise</w:t>
      </w:r>
      <w:r w:rsidR="002C67F9" w:rsidRPr="00DD6FAC">
        <w:rPr>
          <w:rFonts w:ascii="Times New Roman" w:eastAsia="Times New Roman" w:hAnsi="Times New Roman"/>
          <w:sz w:val="24"/>
          <w:szCs w:val="24"/>
        </w:rPr>
        <w:t xml:space="preserve"> clients, not only based on the long experience they have with </w:t>
      </w:r>
      <w:r w:rsidR="00476A6A" w:rsidRPr="00DD6FAC">
        <w:rPr>
          <w:rFonts w:ascii="Times New Roman" w:eastAsia="Times New Roman" w:hAnsi="Times New Roman"/>
          <w:sz w:val="24"/>
          <w:szCs w:val="24"/>
        </w:rPr>
        <w:t xml:space="preserve">a variety of </w:t>
      </w:r>
      <w:r w:rsidR="002C67F9" w:rsidRPr="00DD6FAC">
        <w:rPr>
          <w:rFonts w:ascii="Times New Roman" w:eastAsia="Times New Roman" w:hAnsi="Times New Roman"/>
          <w:sz w:val="24"/>
          <w:szCs w:val="24"/>
        </w:rPr>
        <w:t xml:space="preserve">their clients, but also a strong knowledge of the products and services being offered.  Finally, the bankers also have a deep insight of the nature of the practices in the private banking industry.  In this regard, the bankers are likely to be better judges of client behavior than </w:t>
      </w:r>
      <w:r w:rsidR="00476A6A" w:rsidRPr="00DD6FAC">
        <w:rPr>
          <w:rFonts w:ascii="Times New Roman" w:eastAsia="Times New Roman" w:hAnsi="Times New Roman"/>
          <w:sz w:val="24"/>
          <w:szCs w:val="24"/>
        </w:rPr>
        <w:t xml:space="preserve">even </w:t>
      </w:r>
      <w:r w:rsidR="002C67F9" w:rsidRPr="00DD6FAC">
        <w:rPr>
          <w:rFonts w:ascii="Times New Roman" w:eastAsia="Times New Roman" w:hAnsi="Times New Roman"/>
          <w:sz w:val="24"/>
          <w:szCs w:val="24"/>
        </w:rPr>
        <w:t xml:space="preserve">perhaps the clients themselves. </w:t>
      </w:r>
    </w:p>
    <w:p w:rsidR="00A501CE" w:rsidRPr="00DD6FAC" w:rsidRDefault="00A501CE" w:rsidP="00DD6FAC">
      <w:pPr>
        <w:pStyle w:val="Heading3"/>
        <w:spacing w:line="480" w:lineRule="auto"/>
        <w:jc w:val="both"/>
        <w:rPr>
          <w:rFonts w:ascii="Times New Roman" w:hAnsi="Times New Roman" w:cs="Times New Roman"/>
          <w:color w:val="auto"/>
          <w:sz w:val="24"/>
          <w:szCs w:val="24"/>
        </w:rPr>
      </w:pPr>
      <w:r w:rsidRPr="00DD6FAC">
        <w:rPr>
          <w:rFonts w:ascii="Times New Roman" w:hAnsi="Times New Roman" w:cs="Times New Roman"/>
          <w:color w:val="auto"/>
          <w:sz w:val="24"/>
          <w:szCs w:val="24"/>
        </w:rPr>
        <w:t>Sample</w:t>
      </w:r>
      <w:r w:rsidR="00B41D9A" w:rsidRPr="00DD6FAC">
        <w:rPr>
          <w:rFonts w:ascii="Times New Roman" w:hAnsi="Times New Roman" w:cs="Times New Roman"/>
          <w:color w:val="auto"/>
          <w:sz w:val="24"/>
          <w:szCs w:val="24"/>
        </w:rPr>
        <w:t xml:space="preserve"> and </w:t>
      </w:r>
      <w:r w:rsidR="00100E05" w:rsidRPr="00DD6FAC">
        <w:rPr>
          <w:rFonts w:ascii="Times New Roman" w:hAnsi="Times New Roman" w:cs="Times New Roman"/>
          <w:color w:val="auto"/>
          <w:sz w:val="24"/>
          <w:szCs w:val="24"/>
        </w:rPr>
        <w:t>Measurement</w:t>
      </w:r>
    </w:p>
    <w:p w:rsidR="002C67F9" w:rsidRPr="00DD6FAC" w:rsidRDefault="00A501CE" w:rsidP="00DD6FAC">
      <w:pPr>
        <w:spacing w:before="100" w:beforeAutospacing="1" w:after="100" w:afterAutospacing="1" w:line="480" w:lineRule="auto"/>
        <w:jc w:val="both"/>
        <w:rPr>
          <w:rFonts w:ascii="Times New Roman" w:eastAsia="Times New Roman" w:hAnsi="Times New Roman"/>
          <w:sz w:val="24"/>
          <w:szCs w:val="24"/>
        </w:rPr>
      </w:pPr>
      <w:r w:rsidRPr="00DD6FAC">
        <w:rPr>
          <w:rFonts w:ascii="Times New Roman" w:eastAsia="Times New Roman" w:hAnsi="Times New Roman"/>
          <w:sz w:val="24"/>
          <w:szCs w:val="24"/>
        </w:rPr>
        <w:t xml:space="preserve">Therefore, </w:t>
      </w:r>
      <w:r w:rsidR="002C67F9" w:rsidRPr="00DD6FAC">
        <w:rPr>
          <w:rFonts w:ascii="Times New Roman" w:eastAsia="Times New Roman" w:hAnsi="Times New Roman"/>
          <w:sz w:val="24"/>
          <w:szCs w:val="24"/>
        </w:rPr>
        <w:t xml:space="preserve">we collected client behavior data </w:t>
      </w:r>
      <w:r w:rsidR="00476A6A" w:rsidRPr="00DD6FAC">
        <w:rPr>
          <w:rFonts w:ascii="Times New Roman" w:eastAsia="Times New Roman" w:hAnsi="Times New Roman"/>
          <w:sz w:val="24"/>
          <w:szCs w:val="24"/>
        </w:rPr>
        <w:t xml:space="preserve">with a survey </w:t>
      </w:r>
      <w:r w:rsidR="002C67F9" w:rsidRPr="00DD6FAC">
        <w:rPr>
          <w:rFonts w:ascii="Times New Roman" w:eastAsia="Times New Roman" w:hAnsi="Times New Roman"/>
          <w:sz w:val="24"/>
          <w:szCs w:val="24"/>
        </w:rPr>
        <w:t xml:space="preserve">from two groups of senior bankers of a major Chinese </w:t>
      </w:r>
      <w:r w:rsidR="00867F0F" w:rsidRPr="00DD6FAC">
        <w:rPr>
          <w:rFonts w:ascii="Times New Roman" w:eastAsia="Times New Roman" w:hAnsi="Times New Roman"/>
          <w:sz w:val="24"/>
          <w:szCs w:val="24"/>
        </w:rPr>
        <w:t xml:space="preserve">private </w:t>
      </w:r>
      <w:r w:rsidR="002C67F9" w:rsidRPr="00DD6FAC">
        <w:rPr>
          <w:rFonts w:ascii="Times New Roman" w:eastAsia="Times New Roman" w:hAnsi="Times New Roman"/>
          <w:sz w:val="24"/>
          <w:szCs w:val="24"/>
        </w:rPr>
        <w:t>bank who participated in a study tour of the Hong Kong financial community.  Each group consists of 43 senior</w:t>
      </w:r>
      <w:r w:rsidRPr="00DD6FAC">
        <w:rPr>
          <w:rFonts w:ascii="Times New Roman" w:eastAsia="Times New Roman" w:hAnsi="Times New Roman"/>
          <w:sz w:val="24"/>
          <w:szCs w:val="24"/>
        </w:rPr>
        <w:t xml:space="preserve"> private</w:t>
      </w:r>
      <w:r w:rsidR="002C67F9" w:rsidRPr="00DD6FAC">
        <w:rPr>
          <w:rFonts w:ascii="Times New Roman" w:eastAsia="Times New Roman" w:hAnsi="Times New Roman"/>
          <w:sz w:val="24"/>
          <w:szCs w:val="24"/>
        </w:rPr>
        <w:t xml:space="preserve"> bankers</w:t>
      </w:r>
      <w:r w:rsidRPr="00DD6FAC">
        <w:rPr>
          <w:rFonts w:ascii="Times New Roman" w:eastAsia="Times New Roman" w:hAnsi="Times New Roman"/>
          <w:sz w:val="24"/>
          <w:szCs w:val="24"/>
        </w:rPr>
        <w:t>.  A</w:t>
      </w:r>
      <w:r w:rsidR="002C67F9" w:rsidRPr="00DD6FAC">
        <w:rPr>
          <w:rFonts w:ascii="Times New Roman" w:eastAsia="Times New Roman" w:hAnsi="Times New Roman"/>
          <w:sz w:val="24"/>
          <w:szCs w:val="24"/>
        </w:rPr>
        <w:t xml:space="preserve"> total sample of 86 bankers was surveyed on their understanding of the wealth management preferences, based on the nine behavioral characteris</w:t>
      </w:r>
      <w:r w:rsidRPr="00DD6FAC">
        <w:rPr>
          <w:rFonts w:ascii="Times New Roman" w:eastAsia="Times New Roman" w:hAnsi="Times New Roman"/>
          <w:sz w:val="24"/>
          <w:szCs w:val="24"/>
        </w:rPr>
        <w:t xml:space="preserve">tics from prior studies </w:t>
      </w:r>
      <w:r w:rsidR="002C67F9" w:rsidRPr="00DD6FAC">
        <w:rPr>
          <w:rFonts w:ascii="Times New Roman" w:eastAsia="Times New Roman" w:hAnsi="Times New Roman"/>
          <w:sz w:val="24"/>
          <w:szCs w:val="24"/>
        </w:rPr>
        <w:t>of the HNW clients.</w:t>
      </w:r>
    </w:p>
    <w:p w:rsidR="002C67F9" w:rsidRPr="00DD6FAC" w:rsidRDefault="002C67F9" w:rsidP="00DD6FAC">
      <w:pPr>
        <w:spacing w:before="100" w:beforeAutospacing="1" w:after="100" w:afterAutospacing="1" w:line="480" w:lineRule="auto"/>
        <w:jc w:val="both"/>
        <w:rPr>
          <w:rFonts w:ascii="Times New Roman" w:eastAsia="Times New Roman" w:hAnsi="Times New Roman"/>
          <w:sz w:val="24"/>
          <w:szCs w:val="24"/>
        </w:rPr>
      </w:pPr>
      <w:r w:rsidRPr="00DD6FAC">
        <w:rPr>
          <w:rFonts w:ascii="Times New Roman" w:eastAsia="Times New Roman" w:hAnsi="Times New Roman"/>
          <w:sz w:val="24"/>
          <w:szCs w:val="24"/>
        </w:rPr>
        <w:lastRenderedPageBreak/>
        <w:t xml:space="preserve">These bankers </w:t>
      </w:r>
      <w:r w:rsidR="00A501CE" w:rsidRPr="00DD6FAC">
        <w:rPr>
          <w:rFonts w:ascii="Times New Roman" w:eastAsia="Times New Roman" w:hAnsi="Times New Roman"/>
          <w:sz w:val="24"/>
          <w:szCs w:val="24"/>
        </w:rPr>
        <w:t>were</w:t>
      </w:r>
      <w:r w:rsidRPr="00DD6FAC">
        <w:rPr>
          <w:rFonts w:ascii="Times New Roman" w:eastAsia="Times New Roman" w:hAnsi="Times New Roman"/>
          <w:sz w:val="24"/>
          <w:szCs w:val="24"/>
        </w:rPr>
        <w:t xml:space="preserve"> given a description of the background of each of the four-client type</w:t>
      </w:r>
      <w:r w:rsidR="00867F0F" w:rsidRPr="00DD6FAC">
        <w:rPr>
          <w:rFonts w:ascii="Times New Roman" w:eastAsia="Times New Roman" w:hAnsi="Times New Roman"/>
          <w:sz w:val="24"/>
          <w:szCs w:val="24"/>
        </w:rPr>
        <w:t xml:space="preserve">s (i.e., the segments: </w:t>
      </w:r>
      <w:r w:rsidRPr="00DD6FAC">
        <w:rPr>
          <w:rFonts w:ascii="Times New Roman" w:eastAsia="Times New Roman" w:hAnsi="Times New Roman"/>
          <w:i/>
          <w:sz w:val="24"/>
          <w:szCs w:val="24"/>
        </w:rPr>
        <w:t>Endowed</w:t>
      </w:r>
      <w:r w:rsidRPr="00DD6FAC">
        <w:rPr>
          <w:rFonts w:ascii="Times New Roman" w:eastAsia="Times New Roman" w:hAnsi="Times New Roman"/>
          <w:sz w:val="24"/>
          <w:szCs w:val="24"/>
        </w:rPr>
        <w:t xml:space="preserve">, </w:t>
      </w:r>
      <w:r w:rsidRPr="00DD6FAC">
        <w:rPr>
          <w:rFonts w:ascii="Times New Roman" w:eastAsia="Times New Roman" w:hAnsi="Times New Roman"/>
          <w:i/>
          <w:sz w:val="24"/>
          <w:szCs w:val="24"/>
        </w:rPr>
        <w:t>Entertainers</w:t>
      </w:r>
      <w:r w:rsidRPr="00DD6FAC">
        <w:rPr>
          <w:rFonts w:ascii="Times New Roman" w:eastAsia="Times New Roman" w:hAnsi="Times New Roman"/>
          <w:sz w:val="24"/>
          <w:szCs w:val="24"/>
        </w:rPr>
        <w:t xml:space="preserve">, </w:t>
      </w:r>
      <w:r w:rsidRPr="00DD6FAC">
        <w:rPr>
          <w:rFonts w:ascii="Times New Roman" w:eastAsia="Times New Roman" w:hAnsi="Times New Roman"/>
          <w:i/>
          <w:sz w:val="24"/>
          <w:szCs w:val="24"/>
        </w:rPr>
        <w:t>Executives</w:t>
      </w:r>
      <w:r w:rsidRPr="00DD6FAC">
        <w:rPr>
          <w:rFonts w:ascii="Times New Roman" w:eastAsia="Times New Roman" w:hAnsi="Times New Roman"/>
          <w:sz w:val="24"/>
          <w:szCs w:val="24"/>
        </w:rPr>
        <w:t xml:space="preserve"> and </w:t>
      </w:r>
      <w:r w:rsidRPr="00DD6FAC">
        <w:rPr>
          <w:rFonts w:ascii="Times New Roman" w:eastAsia="Times New Roman" w:hAnsi="Times New Roman"/>
          <w:i/>
          <w:sz w:val="24"/>
          <w:szCs w:val="24"/>
        </w:rPr>
        <w:t>Entrepreneurs</w:t>
      </w:r>
      <w:r w:rsidR="00867F0F" w:rsidRPr="00DD6FAC">
        <w:rPr>
          <w:rFonts w:ascii="Times New Roman" w:eastAsia="Times New Roman" w:hAnsi="Times New Roman"/>
          <w:i/>
          <w:sz w:val="24"/>
          <w:szCs w:val="24"/>
        </w:rPr>
        <w:t>)</w:t>
      </w:r>
      <w:r w:rsidRPr="00DD6FAC">
        <w:rPr>
          <w:rFonts w:ascii="Times New Roman" w:eastAsia="Times New Roman" w:hAnsi="Times New Roman"/>
          <w:sz w:val="24"/>
          <w:szCs w:val="24"/>
        </w:rPr>
        <w:t xml:space="preserve">.  A brief description of the background of each type of client was given to the bankers before they were asked to fill out a survey describing client preferences based on the nine behavioral characteristics developed above.  We used a brief description of client’s background in the survey rather than directly using the 4E labels to avoid the possibility of the labels biasing the bankers in their judging of client according to the 4E labels to obtain enhanced objectivity and </w:t>
      </w:r>
      <w:r w:rsidR="00867F0F" w:rsidRPr="00DD6FAC">
        <w:rPr>
          <w:rFonts w:ascii="Times New Roman" w:eastAsia="Times New Roman" w:hAnsi="Times New Roman"/>
          <w:sz w:val="24"/>
          <w:szCs w:val="24"/>
        </w:rPr>
        <w:t>unbiased</w:t>
      </w:r>
      <w:r w:rsidRPr="00DD6FAC">
        <w:rPr>
          <w:rFonts w:ascii="Times New Roman" w:eastAsia="Times New Roman" w:hAnsi="Times New Roman"/>
          <w:sz w:val="24"/>
          <w:szCs w:val="24"/>
        </w:rPr>
        <w:t xml:space="preserve"> results.  After the bankers acquired an understanding of the background of each of the client type, they were then asked to assess, based on their understanding and experience, how each of the client would behave along the areas developed above by Maude (2006,) </w:t>
      </w:r>
      <w:proofErr w:type="spellStart"/>
      <w:r w:rsidRPr="00DD6FAC">
        <w:rPr>
          <w:rFonts w:ascii="Times New Roman" w:eastAsia="Times New Roman" w:hAnsi="Times New Roman"/>
          <w:sz w:val="24"/>
          <w:szCs w:val="24"/>
        </w:rPr>
        <w:t>Dufey</w:t>
      </w:r>
      <w:proofErr w:type="spellEnd"/>
      <w:r w:rsidRPr="00DD6FAC">
        <w:rPr>
          <w:rFonts w:ascii="Times New Roman" w:eastAsia="Times New Roman" w:hAnsi="Times New Roman"/>
          <w:sz w:val="24"/>
          <w:szCs w:val="24"/>
        </w:rPr>
        <w:t xml:space="preserve"> (2009) and Lye (2011) on a 5-point Likert scale.  </w:t>
      </w:r>
    </w:p>
    <w:p w:rsidR="002C67F9" w:rsidRPr="007D6B53" w:rsidRDefault="002C67F9" w:rsidP="00DD6FAC">
      <w:pPr>
        <w:spacing w:line="480" w:lineRule="auto"/>
        <w:jc w:val="both"/>
        <w:rPr>
          <w:rFonts w:ascii="Times New Roman" w:hAnsi="Times New Roman"/>
          <w:color w:val="000000" w:themeColor="text1"/>
          <w:sz w:val="24"/>
          <w:szCs w:val="24"/>
        </w:rPr>
      </w:pPr>
      <w:r w:rsidRPr="00DD6FAC">
        <w:rPr>
          <w:rFonts w:ascii="Times New Roman" w:hAnsi="Times New Roman"/>
          <w:sz w:val="24"/>
          <w:szCs w:val="24"/>
        </w:rPr>
        <w:t>Given that each group has 43 senior bankers, 86 sets of survey forms were distributed to them.  61 sets of surveys were returned, representing a 71% response rate.  Among the surveys collected, 10 had missing responses to certain questions</w:t>
      </w:r>
      <w:r w:rsidR="00A501CE" w:rsidRPr="00DD6FAC">
        <w:rPr>
          <w:rFonts w:ascii="Times New Roman" w:hAnsi="Times New Roman"/>
          <w:sz w:val="24"/>
          <w:szCs w:val="24"/>
        </w:rPr>
        <w:t xml:space="preserve"> were </w:t>
      </w:r>
      <w:r w:rsidR="00B41D9A" w:rsidRPr="00DD6FAC">
        <w:rPr>
          <w:rFonts w:ascii="Times New Roman" w:hAnsi="Times New Roman"/>
          <w:sz w:val="24"/>
          <w:szCs w:val="24"/>
        </w:rPr>
        <w:t>then discarded</w:t>
      </w:r>
      <w:r w:rsidRPr="00DD6FAC">
        <w:rPr>
          <w:rFonts w:ascii="Times New Roman" w:hAnsi="Times New Roman"/>
          <w:sz w:val="24"/>
          <w:szCs w:val="24"/>
        </w:rPr>
        <w:t xml:space="preserve">, leaving 51 usable surveys.  </w:t>
      </w:r>
      <w:r w:rsidR="001D2354" w:rsidRPr="007D6B53">
        <w:rPr>
          <w:rFonts w:ascii="Times New Roman" w:hAnsi="Times New Roman"/>
          <w:color w:val="000000" w:themeColor="text1"/>
          <w:sz w:val="24"/>
          <w:szCs w:val="24"/>
        </w:rPr>
        <w:t>Table 3 provides a summary of the beha</w:t>
      </w:r>
      <w:r w:rsidR="007D6B53" w:rsidRPr="007D6B53">
        <w:rPr>
          <w:rFonts w:ascii="Times New Roman" w:hAnsi="Times New Roman"/>
          <w:color w:val="000000" w:themeColor="text1"/>
          <w:sz w:val="24"/>
          <w:szCs w:val="24"/>
        </w:rPr>
        <w:t xml:space="preserve">vioral characteristics </w:t>
      </w:r>
      <w:r w:rsidR="001D2354" w:rsidRPr="007D6B53">
        <w:rPr>
          <w:rFonts w:ascii="Times New Roman" w:hAnsi="Times New Roman"/>
          <w:color w:val="000000" w:themeColor="text1"/>
          <w:sz w:val="24"/>
          <w:szCs w:val="24"/>
        </w:rPr>
        <w:t>of each of the data set.</w:t>
      </w:r>
    </w:p>
    <w:p w:rsidR="001D2354" w:rsidRPr="007D6B53" w:rsidRDefault="007D548A" w:rsidP="00DD6FAC">
      <w:pPr>
        <w:spacing w:line="480" w:lineRule="auto"/>
        <w:jc w:val="both"/>
        <w:rPr>
          <w:rFonts w:ascii="Times New Roman" w:hAnsi="Times New Roman"/>
          <w:color w:val="000000" w:themeColor="text1"/>
          <w:sz w:val="24"/>
          <w:szCs w:val="24"/>
        </w:rPr>
      </w:pPr>
      <w:r w:rsidRPr="007D6B53">
        <w:rPr>
          <w:rFonts w:ascii="Times New Roman" w:hAnsi="Times New Roman"/>
          <w:color w:val="000000" w:themeColor="text1"/>
          <w:sz w:val="24"/>
          <w:szCs w:val="24"/>
        </w:rPr>
        <w:t>In general, in the area of “networking relationship behavior,” most client types display a preference towards privacy versus networking, with mean scores of below 3 on a 5 point Likert scale</w:t>
      </w:r>
      <w:r w:rsidR="00361074" w:rsidRPr="007D6B53">
        <w:rPr>
          <w:rFonts w:ascii="Times New Roman" w:hAnsi="Times New Roman"/>
          <w:color w:val="000000" w:themeColor="text1"/>
          <w:sz w:val="24"/>
          <w:szCs w:val="24"/>
        </w:rPr>
        <w:t>, t</w:t>
      </w:r>
      <w:r w:rsidRPr="007D6B53">
        <w:rPr>
          <w:rFonts w:ascii="Times New Roman" w:hAnsi="Times New Roman"/>
          <w:color w:val="000000" w:themeColor="text1"/>
          <w:sz w:val="24"/>
          <w:szCs w:val="24"/>
        </w:rPr>
        <w:t>he only exception being the “</w:t>
      </w:r>
      <w:r w:rsidRPr="007D6B53">
        <w:rPr>
          <w:rFonts w:ascii="Times New Roman" w:hAnsi="Times New Roman"/>
          <w:i/>
          <w:color w:val="000000" w:themeColor="text1"/>
          <w:sz w:val="24"/>
          <w:szCs w:val="24"/>
        </w:rPr>
        <w:t>Entrepreneurs</w:t>
      </w:r>
      <w:r w:rsidRPr="007D6B53">
        <w:rPr>
          <w:rFonts w:ascii="Times New Roman" w:hAnsi="Times New Roman"/>
          <w:color w:val="000000" w:themeColor="text1"/>
          <w:sz w:val="24"/>
          <w:szCs w:val="24"/>
        </w:rPr>
        <w:t>”</w:t>
      </w:r>
      <w:r w:rsidR="00F24E1A" w:rsidRPr="007D6B53">
        <w:rPr>
          <w:rFonts w:ascii="Times New Roman" w:hAnsi="Times New Roman"/>
          <w:color w:val="000000" w:themeColor="text1"/>
          <w:sz w:val="24"/>
          <w:szCs w:val="24"/>
        </w:rPr>
        <w:t xml:space="preserve"> (score = 3.47/5.00</w:t>
      </w:r>
      <w:r w:rsidR="007D6B53" w:rsidRPr="007D6B53">
        <w:rPr>
          <w:rFonts w:ascii="Times New Roman" w:hAnsi="Times New Roman"/>
          <w:color w:val="000000" w:themeColor="text1"/>
          <w:sz w:val="24"/>
          <w:szCs w:val="24"/>
        </w:rPr>
        <w:t>)</w:t>
      </w:r>
      <w:r w:rsidR="007D6B53">
        <w:rPr>
          <w:rFonts w:ascii="Times New Roman" w:hAnsi="Times New Roman"/>
          <w:color w:val="000000" w:themeColor="text1"/>
          <w:sz w:val="24"/>
          <w:szCs w:val="24"/>
        </w:rPr>
        <w:t xml:space="preserve">. </w:t>
      </w:r>
      <w:r w:rsidR="007D6B53" w:rsidRPr="007D6B53">
        <w:rPr>
          <w:rFonts w:ascii="Times New Roman" w:hAnsi="Times New Roman"/>
          <w:color w:val="000000" w:themeColor="text1"/>
          <w:sz w:val="24"/>
          <w:szCs w:val="24"/>
        </w:rPr>
        <w:t xml:space="preserve"> In</w:t>
      </w:r>
      <w:r w:rsidRPr="007D6B53">
        <w:rPr>
          <w:rFonts w:ascii="Times New Roman" w:hAnsi="Times New Roman"/>
          <w:color w:val="000000" w:themeColor="text1"/>
          <w:sz w:val="24"/>
          <w:szCs w:val="24"/>
        </w:rPr>
        <w:t xml:space="preserve"> terms of “legacy orientation behavior,” again, the clients are mostly geared towards intergenerational legacy rather than social legacy</w:t>
      </w:r>
      <w:r w:rsidR="00361074" w:rsidRPr="007D6B53">
        <w:rPr>
          <w:rFonts w:ascii="Times New Roman" w:hAnsi="Times New Roman"/>
          <w:color w:val="000000" w:themeColor="text1"/>
          <w:sz w:val="24"/>
          <w:szCs w:val="24"/>
        </w:rPr>
        <w:t>, again the exception being the “</w:t>
      </w:r>
      <w:r w:rsidR="00361074" w:rsidRPr="007D6B53">
        <w:rPr>
          <w:rFonts w:ascii="Times New Roman" w:hAnsi="Times New Roman"/>
          <w:i/>
          <w:color w:val="000000" w:themeColor="text1"/>
          <w:sz w:val="24"/>
          <w:szCs w:val="24"/>
        </w:rPr>
        <w:t>Entrepreneurs</w:t>
      </w:r>
      <w:r w:rsidRPr="007D6B53">
        <w:rPr>
          <w:rFonts w:ascii="Times New Roman" w:hAnsi="Times New Roman"/>
          <w:color w:val="000000" w:themeColor="text1"/>
          <w:sz w:val="24"/>
          <w:szCs w:val="24"/>
        </w:rPr>
        <w:t>.</w:t>
      </w:r>
      <w:r w:rsidR="00361074" w:rsidRPr="007D6B53">
        <w:rPr>
          <w:rFonts w:ascii="Times New Roman" w:hAnsi="Times New Roman"/>
          <w:color w:val="000000" w:themeColor="text1"/>
          <w:sz w:val="24"/>
          <w:szCs w:val="24"/>
        </w:rPr>
        <w:t>”</w:t>
      </w:r>
      <w:r w:rsidRPr="007D6B53">
        <w:rPr>
          <w:rFonts w:ascii="Times New Roman" w:hAnsi="Times New Roman"/>
          <w:color w:val="000000" w:themeColor="text1"/>
          <w:sz w:val="24"/>
          <w:szCs w:val="24"/>
        </w:rPr>
        <w:t xml:space="preserve">  </w:t>
      </w:r>
      <w:r w:rsidR="00361074" w:rsidRPr="007D6B53">
        <w:rPr>
          <w:rFonts w:ascii="Times New Roman" w:hAnsi="Times New Roman"/>
          <w:color w:val="000000" w:themeColor="text1"/>
          <w:sz w:val="24"/>
          <w:szCs w:val="24"/>
        </w:rPr>
        <w:t xml:space="preserve">When it comes to investment management style, again, most clients </w:t>
      </w:r>
      <w:r w:rsidR="00361074" w:rsidRPr="007D6B53">
        <w:rPr>
          <w:rFonts w:ascii="Times New Roman" w:hAnsi="Times New Roman"/>
          <w:color w:val="000000" w:themeColor="text1"/>
          <w:sz w:val="24"/>
          <w:szCs w:val="24"/>
        </w:rPr>
        <w:lastRenderedPageBreak/>
        <w:t>prefer a discretionary style, i.e., they are comfortable with a hands-off approach having banker making investment decisions for them.  Again, the exception here is the “</w:t>
      </w:r>
      <w:r w:rsidR="00361074" w:rsidRPr="007D6B53">
        <w:rPr>
          <w:rFonts w:ascii="Times New Roman" w:hAnsi="Times New Roman"/>
          <w:i/>
          <w:color w:val="000000" w:themeColor="text1"/>
          <w:sz w:val="24"/>
          <w:szCs w:val="24"/>
        </w:rPr>
        <w:t>Entrepreneurs</w:t>
      </w:r>
      <w:r w:rsidR="00361074" w:rsidRPr="007D6B53">
        <w:rPr>
          <w:rFonts w:ascii="Times New Roman" w:hAnsi="Times New Roman"/>
          <w:color w:val="000000" w:themeColor="text1"/>
          <w:sz w:val="24"/>
          <w:szCs w:val="24"/>
        </w:rPr>
        <w:t>,”</w:t>
      </w:r>
      <w:r w:rsidR="00F24E1A" w:rsidRPr="007D6B53">
        <w:rPr>
          <w:rFonts w:ascii="Times New Roman" w:hAnsi="Times New Roman"/>
          <w:color w:val="000000" w:themeColor="text1"/>
          <w:sz w:val="24"/>
          <w:szCs w:val="24"/>
        </w:rPr>
        <w:t xml:space="preserve"> displaying a strong orientation towards active management of their own investment decision (score = 3.90/5.00.)</w:t>
      </w:r>
      <w:r w:rsidR="00361074" w:rsidRPr="007D6B53">
        <w:rPr>
          <w:rFonts w:ascii="Times New Roman" w:hAnsi="Times New Roman"/>
          <w:color w:val="000000" w:themeColor="text1"/>
          <w:sz w:val="24"/>
          <w:szCs w:val="24"/>
        </w:rPr>
        <w:t xml:space="preserve"> </w:t>
      </w:r>
      <w:r w:rsidR="00F24E1A" w:rsidRPr="007D6B53">
        <w:rPr>
          <w:rFonts w:ascii="Times New Roman" w:hAnsi="Times New Roman"/>
          <w:color w:val="000000" w:themeColor="text1"/>
          <w:sz w:val="24"/>
          <w:szCs w:val="24"/>
        </w:rPr>
        <w:t xml:space="preserve"> </w:t>
      </w:r>
      <w:r w:rsidR="00E9073F" w:rsidRPr="007D6B53">
        <w:rPr>
          <w:rFonts w:ascii="Times New Roman" w:hAnsi="Times New Roman"/>
          <w:color w:val="000000" w:themeColor="text1"/>
          <w:sz w:val="24"/>
          <w:szCs w:val="24"/>
        </w:rPr>
        <w:t>T</w:t>
      </w:r>
      <w:r w:rsidR="00F24E1A" w:rsidRPr="007D6B53">
        <w:rPr>
          <w:rFonts w:ascii="Times New Roman" w:hAnsi="Times New Roman"/>
          <w:color w:val="000000" w:themeColor="text1"/>
          <w:sz w:val="24"/>
          <w:szCs w:val="24"/>
        </w:rPr>
        <w:t>he “</w:t>
      </w:r>
      <w:r w:rsidR="00F24E1A" w:rsidRPr="007D6B53">
        <w:rPr>
          <w:rFonts w:ascii="Times New Roman" w:hAnsi="Times New Roman"/>
          <w:i/>
          <w:color w:val="000000" w:themeColor="text1"/>
          <w:sz w:val="24"/>
          <w:szCs w:val="24"/>
        </w:rPr>
        <w:t>entrepre</w:t>
      </w:r>
      <w:r w:rsidR="00E9073F" w:rsidRPr="007D6B53">
        <w:rPr>
          <w:rFonts w:ascii="Times New Roman" w:hAnsi="Times New Roman"/>
          <w:i/>
          <w:color w:val="000000" w:themeColor="text1"/>
          <w:sz w:val="24"/>
          <w:szCs w:val="24"/>
        </w:rPr>
        <w:t>neurs</w:t>
      </w:r>
      <w:r w:rsidR="00E9073F" w:rsidRPr="007D6B53">
        <w:rPr>
          <w:rFonts w:ascii="Times New Roman" w:hAnsi="Times New Roman"/>
          <w:color w:val="000000" w:themeColor="text1"/>
          <w:sz w:val="24"/>
          <w:szCs w:val="24"/>
        </w:rPr>
        <w:t>” continues to stand out when it comes to how the clients view private bankers should be compensated.  However, all scores here indicate that asset under management (AUM) is the preferred mode of compensation by all types of clients.  When it comes to investment behavior, the “</w:t>
      </w:r>
      <w:r w:rsidR="00E9073F" w:rsidRPr="007D6B53">
        <w:rPr>
          <w:rFonts w:ascii="Times New Roman" w:hAnsi="Times New Roman"/>
          <w:i/>
          <w:color w:val="000000" w:themeColor="text1"/>
          <w:sz w:val="24"/>
          <w:szCs w:val="24"/>
        </w:rPr>
        <w:t>Endowed</w:t>
      </w:r>
      <w:r w:rsidR="00E9073F" w:rsidRPr="007D6B53">
        <w:rPr>
          <w:rFonts w:ascii="Times New Roman" w:hAnsi="Times New Roman"/>
          <w:color w:val="000000" w:themeColor="text1"/>
          <w:sz w:val="24"/>
          <w:szCs w:val="24"/>
        </w:rPr>
        <w:t>” displays the most conservative traits, with a preference towards wealth preservation (score = 2.08/5.00) and low risk appetite (score = 1.80/5.00,) while the “</w:t>
      </w:r>
      <w:r w:rsidR="00E9073F" w:rsidRPr="007D6B53">
        <w:rPr>
          <w:rFonts w:ascii="Times New Roman" w:hAnsi="Times New Roman"/>
          <w:i/>
          <w:color w:val="000000" w:themeColor="text1"/>
          <w:sz w:val="24"/>
          <w:szCs w:val="24"/>
        </w:rPr>
        <w:t>Entrepreneurs</w:t>
      </w:r>
      <w:r w:rsidR="00E9073F" w:rsidRPr="007D6B53">
        <w:rPr>
          <w:rFonts w:ascii="Times New Roman" w:hAnsi="Times New Roman"/>
          <w:color w:val="000000" w:themeColor="text1"/>
          <w:sz w:val="24"/>
          <w:szCs w:val="24"/>
        </w:rPr>
        <w:t xml:space="preserve">” shows the most aggressive traits, with a strong preference towards growth (score = 4.20/5.00) and a </w:t>
      </w:r>
      <w:r w:rsidR="007D6B53" w:rsidRPr="007D6B53">
        <w:rPr>
          <w:rFonts w:ascii="Times New Roman" w:hAnsi="Times New Roman"/>
          <w:color w:val="000000" w:themeColor="text1"/>
          <w:sz w:val="24"/>
          <w:szCs w:val="24"/>
        </w:rPr>
        <w:t>high-risk</w:t>
      </w:r>
      <w:r w:rsidR="00E9073F" w:rsidRPr="007D6B53">
        <w:rPr>
          <w:rFonts w:ascii="Times New Roman" w:hAnsi="Times New Roman"/>
          <w:color w:val="000000" w:themeColor="text1"/>
          <w:sz w:val="24"/>
          <w:szCs w:val="24"/>
        </w:rPr>
        <w:t xml:space="preserve"> appetite (score = 3.47/5.00.)  The dichotomy between the “</w:t>
      </w:r>
      <w:r w:rsidR="00E9073F" w:rsidRPr="007D6B53">
        <w:rPr>
          <w:rFonts w:ascii="Times New Roman" w:hAnsi="Times New Roman"/>
          <w:i/>
          <w:color w:val="000000" w:themeColor="text1"/>
          <w:sz w:val="24"/>
          <w:szCs w:val="24"/>
        </w:rPr>
        <w:t>Endowed</w:t>
      </w:r>
      <w:r w:rsidR="00E9073F" w:rsidRPr="007D6B53">
        <w:rPr>
          <w:rFonts w:ascii="Times New Roman" w:hAnsi="Times New Roman"/>
          <w:color w:val="000000" w:themeColor="text1"/>
          <w:sz w:val="24"/>
          <w:szCs w:val="24"/>
        </w:rPr>
        <w:t>” and the “</w:t>
      </w:r>
      <w:r w:rsidR="00E9073F" w:rsidRPr="007D6B53">
        <w:rPr>
          <w:rFonts w:ascii="Times New Roman" w:hAnsi="Times New Roman"/>
          <w:i/>
          <w:color w:val="000000" w:themeColor="text1"/>
          <w:sz w:val="24"/>
          <w:szCs w:val="24"/>
        </w:rPr>
        <w:t>Entrepreneurs</w:t>
      </w:r>
      <w:r w:rsidR="00E9073F" w:rsidRPr="007D6B53">
        <w:rPr>
          <w:rFonts w:ascii="Times New Roman" w:hAnsi="Times New Roman"/>
          <w:color w:val="000000" w:themeColor="text1"/>
          <w:sz w:val="24"/>
          <w:szCs w:val="24"/>
        </w:rPr>
        <w:t xml:space="preserve">” are again observed </w:t>
      </w:r>
      <w:r w:rsidR="00FA7D95" w:rsidRPr="007D6B53">
        <w:rPr>
          <w:rFonts w:ascii="Times New Roman" w:hAnsi="Times New Roman"/>
          <w:color w:val="000000" w:themeColor="text1"/>
          <w:sz w:val="24"/>
          <w:szCs w:val="24"/>
        </w:rPr>
        <w:t xml:space="preserve">with novelty of investments being used (2.02/5.00 v. 3.53/5.00,) domestic versus international orientation (2.25/5.00 v. 3.45/5.00), and finally, the use of credit (1.88/5.00 v. 4.37/5.00.) </w:t>
      </w:r>
    </w:p>
    <w:p w:rsidR="00EF51DA" w:rsidRPr="00DD6FAC" w:rsidRDefault="00B41D9A" w:rsidP="00DD6FAC">
      <w:pPr>
        <w:pStyle w:val="Heading2"/>
        <w:spacing w:line="480" w:lineRule="auto"/>
        <w:jc w:val="both"/>
        <w:rPr>
          <w:rFonts w:ascii="Times New Roman" w:hAnsi="Times New Roman" w:cs="Times New Roman"/>
          <w:sz w:val="24"/>
          <w:szCs w:val="24"/>
        </w:rPr>
      </w:pPr>
      <w:r w:rsidRPr="00DD6FAC">
        <w:rPr>
          <w:rFonts w:ascii="Times New Roman" w:hAnsi="Times New Roman" w:cs="Times New Roman"/>
          <w:sz w:val="24"/>
          <w:szCs w:val="24"/>
        </w:rPr>
        <w:t>Analysis</w:t>
      </w:r>
    </w:p>
    <w:p w:rsidR="00FA7D95" w:rsidRDefault="00B41D9A" w:rsidP="00DD6FAC">
      <w:pPr>
        <w:spacing w:line="480" w:lineRule="auto"/>
        <w:jc w:val="both"/>
        <w:rPr>
          <w:rFonts w:ascii="Times New Roman" w:hAnsi="Times New Roman"/>
          <w:sz w:val="24"/>
          <w:szCs w:val="24"/>
        </w:rPr>
      </w:pPr>
      <w:r w:rsidRPr="00DD6FAC">
        <w:rPr>
          <w:rFonts w:ascii="Times New Roman" w:hAnsi="Times New Roman"/>
          <w:sz w:val="24"/>
          <w:szCs w:val="24"/>
        </w:rPr>
        <w:t>In order to test the behavioral preferences of each target group</w:t>
      </w:r>
      <w:r w:rsidR="00867F0F" w:rsidRPr="00DD6FAC">
        <w:rPr>
          <w:rFonts w:ascii="Times New Roman" w:hAnsi="Times New Roman"/>
          <w:sz w:val="24"/>
          <w:szCs w:val="24"/>
        </w:rPr>
        <w:t xml:space="preserve"> and evaluate convergent validity</w:t>
      </w:r>
      <w:r w:rsidRPr="00DD6FAC">
        <w:rPr>
          <w:rFonts w:ascii="Times New Roman" w:hAnsi="Times New Roman"/>
          <w:sz w:val="24"/>
          <w:szCs w:val="24"/>
        </w:rPr>
        <w:t xml:space="preserve">, we factor analyzed each of four private banking </w:t>
      </w:r>
      <w:r w:rsidR="00F87BAC">
        <w:rPr>
          <w:rFonts w:ascii="Times New Roman" w:hAnsi="Times New Roman"/>
          <w:sz w:val="24"/>
          <w:szCs w:val="24"/>
        </w:rPr>
        <w:t xml:space="preserve">segment </w:t>
      </w:r>
      <w:r w:rsidR="007E110B" w:rsidRPr="00DD6FAC">
        <w:rPr>
          <w:rFonts w:ascii="Times New Roman" w:hAnsi="Times New Roman"/>
          <w:sz w:val="24"/>
          <w:szCs w:val="24"/>
        </w:rPr>
        <w:t xml:space="preserve">behaviors </w:t>
      </w:r>
      <w:r w:rsidR="00F87BAC">
        <w:rPr>
          <w:rFonts w:ascii="Times New Roman" w:hAnsi="Times New Roman"/>
          <w:sz w:val="24"/>
          <w:szCs w:val="24"/>
        </w:rPr>
        <w:t xml:space="preserve">using principle component analysis </w:t>
      </w:r>
      <w:r w:rsidRPr="00DD6FAC">
        <w:rPr>
          <w:rFonts w:ascii="Times New Roman" w:hAnsi="Times New Roman"/>
          <w:sz w:val="24"/>
          <w:szCs w:val="24"/>
        </w:rPr>
        <w:t xml:space="preserve">and selected the </w:t>
      </w:r>
      <w:r w:rsidR="00F355F6" w:rsidRPr="00DD6FAC">
        <w:rPr>
          <w:rFonts w:ascii="Times New Roman" w:hAnsi="Times New Roman"/>
          <w:sz w:val="24"/>
          <w:szCs w:val="24"/>
        </w:rPr>
        <w:t xml:space="preserve">three </w:t>
      </w:r>
      <w:r w:rsidRPr="00DD6FAC">
        <w:rPr>
          <w:rFonts w:ascii="Times New Roman" w:hAnsi="Times New Roman"/>
          <w:sz w:val="24"/>
          <w:szCs w:val="24"/>
        </w:rPr>
        <w:t>highest behavioral preferences based on correlation</w:t>
      </w:r>
      <w:r w:rsidR="00F355F6" w:rsidRPr="00DD6FAC">
        <w:rPr>
          <w:rFonts w:ascii="Times New Roman" w:hAnsi="Times New Roman"/>
          <w:sz w:val="24"/>
          <w:szCs w:val="24"/>
        </w:rPr>
        <w:t xml:space="preserve"> from the component matrix</w:t>
      </w:r>
      <w:r w:rsidRPr="00DD6FAC">
        <w:rPr>
          <w:rFonts w:ascii="Times New Roman" w:hAnsi="Times New Roman"/>
          <w:sz w:val="24"/>
          <w:szCs w:val="24"/>
        </w:rPr>
        <w:t xml:space="preserve">. </w:t>
      </w:r>
      <w:r w:rsidR="0093131D">
        <w:rPr>
          <w:rFonts w:ascii="Times New Roman" w:hAnsi="Times New Roman"/>
          <w:sz w:val="24"/>
          <w:szCs w:val="24"/>
        </w:rPr>
        <w:t xml:space="preserve"> </w:t>
      </w:r>
      <w:r w:rsidR="0024138D">
        <w:rPr>
          <w:rFonts w:ascii="Times New Roman" w:hAnsi="Times New Roman"/>
          <w:sz w:val="24"/>
          <w:szCs w:val="24"/>
        </w:rPr>
        <w:t>Using principle component analysis, the first principal component has the largest possible variance and accounts for the most variability.</w:t>
      </w:r>
      <w:r w:rsidRPr="00DD6FAC">
        <w:rPr>
          <w:rFonts w:ascii="Times New Roman" w:hAnsi="Times New Roman"/>
          <w:sz w:val="24"/>
          <w:szCs w:val="24"/>
        </w:rPr>
        <w:t xml:space="preserve"> </w:t>
      </w:r>
      <w:r w:rsidR="00E337B8" w:rsidRPr="007D6B53">
        <w:rPr>
          <w:rFonts w:ascii="Times New Roman" w:hAnsi="Times New Roman"/>
          <w:color w:val="000000" w:themeColor="text1"/>
          <w:sz w:val="24"/>
          <w:szCs w:val="24"/>
        </w:rPr>
        <w:t>O</w:t>
      </w:r>
      <w:r w:rsidR="00F355F6" w:rsidRPr="007D6B53">
        <w:rPr>
          <w:rFonts w:ascii="Times New Roman" w:hAnsi="Times New Roman"/>
          <w:color w:val="000000" w:themeColor="text1"/>
          <w:sz w:val="24"/>
          <w:szCs w:val="24"/>
        </w:rPr>
        <w:t xml:space="preserve">f the four-factor analyses conducted each produced only one significant component. </w:t>
      </w:r>
      <w:r w:rsidR="000D6238" w:rsidRPr="007D6B53">
        <w:rPr>
          <w:rFonts w:ascii="Times New Roman" w:hAnsi="Times New Roman"/>
          <w:color w:val="000000" w:themeColor="text1"/>
          <w:sz w:val="24"/>
          <w:szCs w:val="24"/>
        </w:rPr>
        <w:t xml:space="preserve">  The secondary components explained only 15% of the variance or less</w:t>
      </w:r>
      <w:r w:rsidR="007D6B53" w:rsidRPr="007D6B53">
        <w:rPr>
          <w:rFonts w:ascii="Times New Roman" w:hAnsi="Times New Roman"/>
          <w:color w:val="000000" w:themeColor="text1"/>
          <w:sz w:val="24"/>
          <w:szCs w:val="24"/>
        </w:rPr>
        <w:t>.</w:t>
      </w:r>
      <w:r w:rsidR="00F355F6" w:rsidRPr="00DD6FAC">
        <w:rPr>
          <w:rFonts w:ascii="Times New Roman" w:hAnsi="Times New Roman"/>
          <w:sz w:val="24"/>
          <w:szCs w:val="24"/>
        </w:rPr>
        <w:t xml:space="preserve"> The </w:t>
      </w:r>
      <w:r w:rsidR="008621D7" w:rsidRPr="00DD6FAC">
        <w:rPr>
          <w:rFonts w:ascii="Times New Roman" w:hAnsi="Times New Roman"/>
          <w:sz w:val="24"/>
          <w:szCs w:val="24"/>
        </w:rPr>
        <w:t>behavior</w:t>
      </w:r>
      <w:r w:rsidR="0024138D">
        <w:rPr>
          <w:rFonts w:ascii="Times New Roman" w:hAnsi="Times New Roman"/>
          <w:sz w:val="24"/>
          <w:szCs w:val="24"/>
        </w:rPr>
        <w:t>al</w:t>
      </w:r>
      <w:r w:rsidR="008621D7" w:rsidRPr="00DD6FAC">
        <w:rPr>
          <w:rFonts w:ascii="Times New Roman" w:hAnsi="Times New Roman"/>
          <w:sz w:val="24"/>
          <w:szCs w:val="24"/>
        </w:rPr>
        <w:t xml:space="preserve"> </w:t>
      </w:r>
      <w:r w:rsidR="00F355F6" w:rsidRPr="00DD6FAC">
        <w:rPr>
          <w:rFonts w:ascii="Times New Roman" w:hAnsi="Times New Roman"/>
          <w:sz w:val="24"/>
          <w:szCs w:val="24"/>
        </w:rPr>
        <w:t xml:space="preserve">criteria with the highest correlations were selected.  </w:t>
      </w:r>
    </w:p>
    <w:p w:rsidR="00B41D9A" w:rsidRPr="00DD6FAC" w:rsidRDefault="00F355F6" w:rsidP="00DD6FAC">
      <w:pPr>
        <w:spacing w:line="480" w:lineRule="auto"/>
        <w:jc w:val="both"/>
        <w:rPr>
          <w:rFonts w:ascii="Times New Roman" w:hAnsi="Times New Roman"/>
          <w:sz w:val="24"/>
          <w:szCs w:val="24"/>
        </w:rPr>
      </w:pPr>
      <w:r w:rsidRPr="00DD6FAC">
        <w:rPr>
          <w:rFonts w:ascii="Times New Roman" w:hAnsi="Times New Roman"/>
          <w:sz w:val="24"/>
          <w:szCs w:val="24"/>
        </w:rPr>
        <w:lastRenderedPageBreak/>
        <w:t xml:space="preserve">Table </w:t>
      </w:r>
      <w:r w:rsidR="00C72559">
        <w:rPr>
          <w:rFonts w:ascii="Times New Roman" w:hAnsi="Times New Roman"/>
          <w:sz w:val="24"/>
          <w:szCs w:val="24"/>
        </w:rPr>
        <w:t>4</w:t>
      </w:r>
      <w:r w:rsidRPr="00DD6FAC">
        <w:rPr>
          <w:rFonts w:ascii="Times New Roman" w:hAnsi="Times New Roman"/>
          <w:sz w:val="24"/>
          <w:szCs w:val="24"/>
        </w:rPr>
        <w:t xml:space="preserve"> reflects the results. </w:t>
      </w:r>
      <w:r w:rsidR="00B41D9A" w:rsidRPr="00DD6FAC">
        <w:rPr>
          <w:rFonts w:ascii="Times New Roman" w:hAnsi="Times New Roman"/>
          <w:sz w:val="24"/>
          <w:szCs w:val="24"/>
        </w:rPr>
        <w:t>Th</w:t>
      </w:r>
      <w:r w:rsidR="00987155">
        <w:rPr>
          <w:rFonts w:ascii="Times New Roman" w:hAnsi="Times New Roman"/>
          <w:sz w:val="24"/>
          <w:szCs w:val="24"/>
        </w:rPr>
        <w:t xml:space="preserve">e result in Table </w:t>
      </w:r>
      <w:r w:rsidR="00C72559">
        <w:rPr>
          <w:rFonts w:ascii="Times New Roman" w:hAnsi="Times New Roman"/>
          <w:sz w:val="24"/>
          <w:szCs w:val="24"/>
        </w:rPr>
        <w:t>4</w:t>
      </w:r>
      <w:r w:rsidR="00B41D9A" w:rsidRPr="00DD6FAC">
        <w:rPr>
          <w:rFonts w:ascii="Times New Roman" w:hAnsi="Times New Roman"/>
          <w:sz w:val="24"/>
          <w:szCs w:val="24"/>
        </w:rPr>
        <w:t xml:space="preserve"> will </w:t>
      </w:r>
      <w:r w:rsidR="000B363D" w:rsidRPr="00DD6FAC">
        <w:rPr>
          <w:rFonts w:ascii="Times New Roman" w:hAnsi="Times New Roman"/>
          <w:sz w:val="24"/>
          <w:szCs w:val="24"/>
        </w:rPr>
        <w:t xml:space="preserve">give private </w:t>
      </w:r>
      <w:r w:rsidR="00B41D9A" w:rsidRPr="00DD6FAC">
        <w:rPr>
          <w:rFonts w:ascii="Times New Roman" w:hAnsi="Times New Roman"/>
          <w:sz w:val="24"/>
          <w:szCs w:val="24"/>
        </w:rPr>
        <w:t xml:space="preserve">bankers the ability to determine the product </w:t>
      </w:r>
      <w:r w:rsidR="000B363D" w:rsidRPr="00DD6FAC">
        <w:rPr>
          <w:rFonts w:ascii="Times New Roman" w:hAnsi="Times New Roman"/>
          <w:sz w:val="24"/>
          <w:szCs w:val="24"/>
        </w:rPr>
        <w:t xml:space="preserve">and behavioral </w:t>
      </w:r>
      <w:r w:rsidR="00B41D9A" w:rsidRPr="00DD6FAC">
        <w:rPr>
          <w:rFonts w:ascii="Times New Roman" w:hAnsi="Times New Roman"/>
          <w:sz w:val="24"/>
          <w:szCs w:val="24"/>
        </w:rPr>
        <w:t>preferences for each private banking segment.</w:t>
      </w:r>
      <w:r w:rsidR="00867F0F" w:rsidRPr="00DD6FAC">
        <w:rPr>
          <w:rFonts w:ascii="Times New Roman" w:hAnsi="Times New Roman"/>
          <w:sz w:val="24"/>
          <w:szCs w:val="24"/>
        </w:rPr>
        <w:t xml:space="preserve">  In addition, the behavioral </w:t>
      </w:r>
      <w:r w:rsidR="007E110B" w:rsidRPr="00DD6FAC">
        <w:rPr>
          <w:rFonts w:ascii="Times New Roman" w:hAnsi="Times New Roman"/>
          <w:sz w:val="24"/>
          <w:szCs w:val="24"/>
        </w:rPr>
        <w:t>preference of the segment groups (i.e., 4 Es) lends</w:t>
      </w:r>
      <w:r w:rsidR="00867F0F" w:rsidRPr="00DD6FAC">
        <w:rPr>
          <w:rFonts w:ascii="Times New Roman" w:hAnsi="Times New Roman"/>
          <w:sz w:val="24"/>
          <w:szCs w:val="24"/>
        </w:rPr>
        <w:t xml:space="preserve"> evidence that the segments are somewhat harmonious with the </w:t>
      </w:r>
      <w:r w:rsidR="008621D7" w:rsidRPr="00DD6FAC">
        <w:rPr>
          <w:rFonts w:ascii="Times New Roman" w:hAnsi="Times New Roman"/>
          <w:sz w:val="24"/>
          <w:szCs w:val="24"/>
        </w:rPr>
        <w:t xml:space="preserve">behavior </w:t>
      </w:r>
      <w:r w:rsidR="00867F0F" w:rsidRPr="00DD6FAC">
        <w:rPr>
          <w:rFonts w:ascii="Times New Roman" w:hAnsi="Times New Roman"/>
          <w:sz w:val="24"/>
          <w:szCs w:val="24"/>
        </w:rPr>
        <w:t xml:space="preserve">style of private bank </w:t>
      </w:r>
      <w:r w:rsidR="00987155">
        <w:rPr>
          <w:rFonts w:ascii="Times New Roman" w:hAnsi="Times New Roman"/>
          <w:sz w:val="24"/>
          <w:szCs w:val="24"/>
        </w:rPr>
        <w:t>clients</w:t>
      </w:r>
      <w:r w:rsidR="00867F0F" w:rsidRPr="00DD6FAC">
        <w:rPr>
          <w:rFonts w:ascii="Times New Roman" w:hAnsi="Times New Roman"/>
          <w:sz w:val="24"/>
          <w:szCs w:val="24"/>
        </w:rPr>
        <w:t>.</w:t>
      </w:r>
      <w:r w:rsidR="0024138D">
        <w:rPr>
          <w:rFonts w:ascii="Times New Roman" w:hAnsi="Times New Roman"/>
          <w:sz w:val="24"/>
          <w:szCs w:val="24"/>
        </w:rPr>
        <w:t xml:space="preserve">  For example, the </w:t>
      </w:r>
      <w:r w:rsidR="0024138D" w:rsidRPr="00DD6FAC">
        <w:rPr>
          <w:rFonts w:ascii="Times New Roman" w:hAnsi="Times New Roman"/>
          <w:sz w:val="24"/>
          <w:szCs w:val="24"/>
        </w:rPr>
        <w:t>“</w:t>
      </w:r>
      <w:r w:rsidR="0024138D" w:rsidRPr="00DD6FAC">
        <w:rPr>
          <w:rFonts w:ascii="Times New Roman" w:hAnsi="Times New Roman"/>
          <w:i/>
          <w:sz w:val="24"/>
          <w:szCs w:val="24"/>
        </w:rPr>
        <w:t>Endowed</w:t>
      </w:r>
      <w:r w:rsidR="0024138D" w:rsidRPr="00DD6FAC">
        <w:rPr>
          <w:rFonts w:ascii="Times New Roman" w:hAnsi="Times New Roman"/>
          <w:sz w:val="24"/>
          <w:szCs w:val="24"/>
        </w:rPr>
        <w:t>”</w:t>
      </w:r>
      <w:r w:rsidR="0024138D">
        <w:rPr>
          <w:rFonts w:ascii="Times New Roman" w:hAnsi="Times New Roman"/>
          <w:sz w:val="24"/>
          <w:szCs w:val="24"/>
        </w:rPr>
        <w:t xml:space="preserve"> factor correlated most with Wealth Build (Preserve vs. Growth).  </w:t>
      </w:r>
      <w:r w:rsidR="0028383E">
        <w:rPr>
          <w:rFonts w:ascii="Times New Roman" w:hAnsi="Times New Roman"/>
          <w:sz w:val="24"/>
          <w:szCs w:val="24"/>
        </w:rPr>
        <w:t>This is supported by the literature</w:t>
      </w:r>
      <w:r w:rsidR="00613413">
        <w:rPr>
          <w:rFonts w:ascii="Times New Roman" w:hAnsi="Times New Roman"/>
          <w:sz w:val="24"/>
          <w:szCs w:val="24"/>
        </w:rPr>
        <w:t xml:space="preserve">.  </w:t>
      </w:r>
      <w:r w:rsidR="00613413" w:rsidRPr="00DD6FAC">
        <w:rPr>
          <w:rFonts w:ascii="Times New Roman" w:hAnsi="Times New Roman"/>
          <w:sz w:val="24"/>
          <w:szCs w:val="24"/>
        </w:rPr>
        <w:t>Nomura (2006)</w:t>
      </w:r>
      <w:r w:rsidR="00613413">
        <w:rPr>
          <w:rFonts w:ascii="Times New Roman" w:hAnsi="Times New Roman"/>
          <w:sz w:val="24"/>
          <w:szCs w:val="24"/>
        </w:rPr>
        <w:t xml:space="preserve"> classified this group as the “born-rich</w:t>
      </w:r>
      <w:r w:rsidR="00613413" w:rsidRPr="00DD6FAC">
        <w:rPr>
          <w:rFonts w:ascii="Times New Roman" w:hAnsi="Times New Roman"/>
          <w:sz w:val="24"/>
          <w:szCs w:val="24"/>
        </w:rPr>
        <w:t>”</w:t>
      </w:r>
      <w:r w:rsidR="00613413">
        <w:rPr>
          <w:rFonts w:ascii="Times New Roman" w:hAnsi="Times New Roman"/>
          <w:sz w:val="24"/>
          <w:szCs w:val="24"/>
        </w:rPr>
        <w:t xml:space="preserve"> segment.  A market segment that would have a strong preference toward preservation of inherited wealth.</w:t>
      </w:r>
    </w:p>
    <w:p w:rsidR="00867F0F" w:rsidRPr="00C72559" w:rsidRDefault="007E110B" w:rsidP="00DD6FAC">
      <w:pPr>
        <w:spacing w:line="480" w:lineRule="auto"/>
        <w:jc w:val="both"/>
        <w:rPr>
          <w:rFonts w:ascii="Times New Roman" w:hAnsi="Times New Roman"/>
          <w:color w:val="FF0000"/>
          <w:sz w:val="24"/>
          <w:szCs w:val="24"/>
        </w:rPr>
      </w:pPr>
      <w:r w:rsidRPr="00DD6FAC">
        <w:rPr>
          <w:rFonts w:ascii="Times New Roman" w:hAnsi="Times New Roman"/>
          <w:sz w:val="24"/>
          <w:szCs w:val="24"/>
        </w:rPr>
        <w:t xml:space="preserve">To test discriminate validity, we used ANOVA to test for significant differences between the four segments and the investment behaviors. </w:t>
      </w:r>
      <w:r w:rsidR="000D6238">
        <w:rPr>
          <w:rFonts w:ascii="Times New Roman" w:hAnsi="Times New Roman"/>
          <w:sz w:val="24"/>
          <w:szCs w:val="24"/>
        </w:rPr>
        <w:t>If there are significant differences, this reflects that segments are somewhat valid measures of differences in investment behavior.  Of course, interaction effects will skew the results somewhat but there will always be some interaction variation between investment segments of this type.  For example,</w:t>
      </w:r>
      <w:r w:rsidR="001E5E24">
        <w:rPr>
          <w:rFonts w:ascii="Times New Roman" w:hAnsi="Times New Roman"/>
          <w:sz w:val="24"/>
          <w:szCs w:val="24"/>
        </w:rPr>
        <w:t xml:space="preserve"> </w:t>
      </w:r>
      <w:r w:rsidR="000D6238">
        <w:rPr>
          <w:rFonts w:ascii="Times New Roman" w:hAnsi="Times New Roman"/>
          <w:sz w:val="24"/>
          <w:szCs w:val="24"/>
        </w:rPr>
        <w:t xml:space="preserve">the </w:t>
      </w:r>
      <w:r w:rsidR="001E5E24">
        <w:rPr>
          <w:rFonts w:ascii="Times New Roman" w:hAnsi="Times New Roman"/>
          <w:sz w:val="24"/>
          <w:szCs w:val="24"/>
        </w:rPr>
        <w:t xml:space="preserve">behavior </w:t>
      </w:r>
      <w:r w:rsidR="000D6238">
        <w:rPr>
          <w:rFonts w:ascii="Times New Roman" w:hAnsi="Times New Roman"/>
          <w:sz w:val="24"/>
          <w:szCs w:val="24"/>
        </w:rPr>
        <w:t>differences between a</w:t>
      </w:r>
      <w:r w:rsidR="001E5E24">
        <w:rPr>
          <w:rFonts w:ascii="Times New Roman" w:hAnsi="Times New Roman"/>
          <w:sz w:val="24"/>
          <w:szCs w:val="24"/>
        </w:rPr>
        <w:t>n entrepreneur and an executive at times who be more difficult to define.</w:t>
      </w:r>
      <w:r w:rsidR="00C72559">
        <w:rPr>
          <w:rFonts w:ascii="Times New Roman" w:hAnsi="Times New Roman"/>
          <w:sz w:val="24"/>
          <w:szCs w:val="24"/>
        </w:rPr>
        <w:t xml:space="preserve">  </w:t>
      </w:r>
      <w:r w:rsidR="00C72559" w:rsidRPr="007D6B53">
        <w:rPr>
          <w:rFonts w:ascii="Times New Roman" w:hAnsi="Times New Roman"/>
          <w:sz w:val="24"/>
          <w:szCs w:val="24"/>
        </w:rPr>
        <w:t>Table 5 displays the results</w:t>
      </w:r>
      <w:r w:rsidR="00C72559">
        <w:rPr>
          <w:rFonts w:ascii="Times New Roman" w:hAnsi="Times New Roman"/>
          <w:color w:val="FF0000"/>
          <w:sz w:val="24"/>
          <w:szCs w:val="24"/>
        </w:rPr>
        <w:t>.</w:t>
      </w:r>
    </w:p>
    <w:p w:rsidR="00B41D9A" w:rsidRPr="00DD6FAC" w:rsidRDefault="00B41D9A" w:rsidP="00DD6FAC">
      <w:pPr>
        <w:pStyle w:val="Heading2"/>
        <w:spacing w:line="480" w:lineRule="auto"/>
        <w:jc w:val="both"/>
        <w:rPr>
          <w:rFonts w:ascii="Times New Roman" w:hAnsi="Times New Roman" w:cs="Times New Roman"/>
          <w:sz w:val="24"/>
          <w:szCs w:val="24"/>
        </w:rPr>
      </w:pPr>
      <w:r w:rsidRPr="00DD6FAC">
        <w:rPr>
          <w:rFonts w:ascii="Times New Roman" w:hAnsi="Times New Roman" w:cs="Times New Roman"/>
          <w:sz w:val="24"/>
          <w:szCs w:val="24"/>
        </w:rPr>
        <w:t>Results</w:t>
      </w:r>
    </w:p>
    <w:p w:rsidR="00B41D9A" w:rsidRPr="00DD6FAC" w:rsidRDefault="00B41D9A" w:rsidP="00DD6FAC">
      <w:pPr>
        <w:pStyle w:val="Heading3"/>
        <w:spacing w:line="480" w:lineRule="auto"/>
        <w:jc w:val="both"/>
        <w:rPr>
          <w:rFonts w:ascii="Times New Roman" w:hAnsi="Times New Roman" w:cs="Times New Roman"/>
          <w:color w:val="auto"/>
          <w:sz w:val="24"/>
          <w:szCs w:val="24"/>
        </w:rPr>
      </w:pPr>
      <w:r w:rsidRPr="00DD6FAC">
        <w:rPr>
          <w:rFonts w:ascii="Times New Roman" w:hAnsi="Times New Roman" w:cs="Times New Roman"/>
          <w:color w:val="auto"/>
          <w:sz w:val="24"/>
          <w:szCs w:val="24"/>
        </w:rPr>
        <w:t>Endowed Segment</w:t>
      </w:r>
    </w:p>
    <w:p w:rsidR="00B41D9A" w:rsidRPr="00DD6FAC" w:rsidRDefault="00B41D9A" w:rsidP="00DD6FAC">
      <w:pPr>
        <w:spacing w:line="480" w:lineRule="auto"/>
        <w:jc w:val="both"/>
        <w:rPr>
          <w:rFonts w:ascii="Times New Roman" w:hAnsi="Times New Roman"/>
          <w:sz w:val="24"/>
          <w:szCs w:val="24"/>
        </w:rPr>
      </w:pPr>
      <w:r w:rsidRPr="00DD6FAC">
        <w:rPr>
          <w:rFonts w:ascii="Times New Roman" w:hAnsi="Times New Roman"/>
          <w:sz w:val="24"/>
          <w:szCs w:val="24"/>
        </w:rPr>
        <w:t>The highest correlation for this segment was</w:t>
      </w:r>
      <w:r w:rsidR="006251CE" w:rsidRPr="00DD6FAC">
        <w:rPr>
          <w:rFonts w:ascii="Times New Roman" w:hAnsi="Times New Roman"/>
          <w:sz w:val="24"/>
          <w:szCs w:val="24"/>
        </w:rPr>
        <w:t xml:space="preserve"> Wealth Build (Preserve Vs. Growth)</w:t>
      </w:r>
      <w:r w:rsidRPr="00DD6FAC">
        <w:rPr>
          <w:rFonts w:ascii="Times New Roman" w:hAnsi="Times New Roman"/>
          <w:sz w:val="24"/>
          <w:szCs w:val="24"/>
        </w:rPr>
        <w:t xml:space="preserve"> </w:t>
      </w:r>
      <w:r w:rsidR="006251CE" w:rsidRPr="00DD6FAC">
        <w:rPr>
          <w:rFonts w:ascii="Times New Roman" w:hAnsi="Times New Roman"/>
          <w:sz w:val="24"/>
          <w:szCs w:val="24"/>
        </w:rPr>
        <w:t>(.862). This was followed by Attitude Toward Risk (.814).  The third highest correlation was Use of Novel Instruments (.783).</w:t>
      </w:r>
      <w:r w:rsidR="00867F0F" w:rsidRPr="00DD6FAC">
        <w:rPr>
          <w:rFonts w:ascii="Times New Roman" w:hAnsi="Times New Roman"/>
          <w:sz w:val="24"/>
          <w:szCs w:val="24"/>
        </w:rPr>
        <w:t xml:space="preserve">  The </w:t>
      </w:r>
      <w:r w:rsidR="00EF51DA" w:rsidRPr="00DD6FAC">
        <w:rPr>
          <w:rFonts w:ascii="Times New Roman" w:hAnsi="Times New Roman"/>
          <w:sz w:val="24"/>
          <w:szCs w:val="24"/>
        </w:rPr>
        <w:t xml:space="preserve">result are consistent with the hypothesis that the </w:t>
      </w:r>
      <w:r w:rsidR="00867F0F" w:rsidRPr="00DD6FAC">
        <w:rPr>
          <w:rFonts w:ascii="Times New Roman" w:hAnsi="Times New Roman"/>
          <w:sz w:val="24"/>
          <w:szCs w:val="24"/>
        </w:rPr>
        <w:t xml:space="preserve">preference for building wealth has historically defined the </w:t>
      </w:r>
      <w:r w:rsidR="00EF51DA" w:rsidRPr="00DD6FAC">
        <w:rPr>
          <w:rFonts w:ascii="Times New Roman" w:hAnsi="Times New Roman"/>
          <w:sz w:val="24"/>
          <w:szCs w:val="24"/>
        </w:rPr>
        <w:t>“</w:t>
      </w:r>
      <w:r w:rsidR="00867F0F" w:rsidRPr="00DD6FAC">
        <w:rPr>
          <w:rFonts w:ascii="Times New Roman" w:hAnsi="Times New Roman"/>
          <w:i/>
          <w:sz w:val="24"/>
          <w:szCs w:val="24"/>
        </w:rPr>
        <w:t>Endowed</w:t>
      </w:r>
      <w:r w:rsidR="00EF51DA" w:rsidRPr="00DD6FAC">
        <w:rPr>
          <w:rFonts w:ascii="Times New Roman" w:hAnsi="Times New Roman"/>
          <w:sz w:val="24"/>
          <w:szCs w:val="24"/>
        </w:rPr>
        <w:t>”</w:t>
      </w:r>
      <w:r w:rsidR="00867F0F" w:rsidRPr="00DD6FAC">
        <w:rPr>
          <w:rFonts w:ascii="Times New Roman" w:hAnsi="Times New Roman"/>
          <w:sz w:val="24"/>
          <w:szCs w:val="24"/>
        </w:rPr>
        <w:t xml:space="preserve"> old money </w:t>
      </w:r>
      <w:r w:rsidR="00867F0F" w:rsidRPr="00DD6FAC">
        <w:rPr>
          <w:rFonts w:ascii="Times New Roman" w:hAnsi="Times New Roman"/>
          <w:sz w:val="24"/>
          <w:szCs w:val="24"/>
        </w:rPr>
        <w:lastRenderedPageBreak/>
        <w:t xml:space="preserve">segment of private banking investors.  The </w:t>
      </w:r>
      <w:r w:rsidR="00EF51DA" w:rsidRPr="00DD6FAC">
        <w:rPr>
          <w:rFonts w:ascii="Times New Roman" w:hAnsi="Times New Roman"/>
          <w:sz w:val="24"/>
          <w:szCs w:val="24"/>
        </w:rPr>
        <w:t xml:space="preserve">evidence on this </w:t>
      </w:r>
      <w:r w:rsidR="00867F0F" w:rsidRPr="00DD6FAC">
        <w:rPr>
          <w:rFonts w:ascii="Times New Roman" w:hAnsi="Times New Roman"/>
          <w:sz w:val="24"/>
          <w:szCs w:val="24"/>
        </w:rPr>
        <w:t xml:space="preserve">segment and the </w:t>
      </w:r>
      <w:r w:rsidR="00111200" w:rsidRPr="00DD6FAC">
        <w:rPr>
          <w:rFonts w:ascii="Times New Roman" w:hAnsi="Times New Roman"/>
          <w:sz w:val="24"/>
          <w:szCs w:val="24"/>
        </w:rPr>
        <w:t xml:space="preserve">related </w:t>
      </w:r>
      <w:r w:rsidR="00867F0F" w:rsidRPr="00DD6FAC">
        <w:rPr>
          <w:rFonts w:ascii="Times New Roman" w:hAnsi="Times New Roman"/>
          <w:sz w:val="24"/>
          <w:szCs w:val="24"/>
        </w:rPr>
        <w:t>behavior</w:t>
      </w:r>
      <w:r w:rsidR="00111200" w:rsidRPr="00DD6FAC">
        <w:rPr>
          <w:rFonts w:ascii="Times New Roman" w:hAnsi="Times New Roman"/>
          <w:sz w:val="24"/>
          <w:szCs w:val="24"/>
        </w:rPr>
        <w:t>s</w:t>
      </w:r>
      <w:r w:rsidR="00867F0F" w:rsidRPr="00DD6FAC">
        <w:rPr>
          <w:rFonts w:ascii="Times New Roman" w:hAnsi="Times New Roman"/>
          <w:sz w:val="24"/>
          <w:szCs w:val="24"/>
        </w:rPr>
        <w:t xml:space="preserve"> are supportive of the validity of the segment.</w:t>
      </w:r>
    </w:p>
    <w:p w:rsidR="006251CE" w:rsidRPr="00DD6FAC" w:rsidRDefault="006251CE" w:rsidP="00DD6FAC">
      <w:pPr>
        <w:pStyle w:val="Heading3"/>
        <w:spacing w:line="480" w:lineRule="auto"/>
        <w:jc w:val="both"/>
        <w:rPr>
          <w:rFonts w:ascii="Times New Roman" w:hAnsi="Times New Roman" w:cs="Times New Roman"/>
          <w:color w:val="auto"/>
          <w:sz w:val="24"/>
          <w:szCs w:val="24"/>
        </w:rPr>
      </w:pPr>
      <w:r w:rsidRPr="00DD6FAC">
        <w:rPr>
          <w:rFonts w:ascii="Times New Roman" w:hAnsi="Times New Roman" w:cs="Times New Roman"/>
          <w:color w:val="auto"/>
          <w:sz w:val="24"/>
          <w:szCs w:val="24"/>
        </w:rPr>
        <w:t>Entertainers</w:t>
      </w:r>
      <w:r w:rsidR="00061F6F" w:rsidRPr="00DD6FAC">
        <w:rPr>
          <w:rFonts w:ascii="Times New Roman" w:hAnsi="Times New Roman" w:cs="Times New Roman"/>
          <w:color w:val="auto"/>
          <w:sz w:val="24"/>
          <w:szCs w:val="24"/>
        </w:rPr>
        <w:t xml:space="preserve"> Segment</w:t>
      </w:r>
    </w:p>
    <w:p w:rsidR="00EF51DA" w:rsidRPr="00DD6FAC" w:rsidRDefault="006251CE" w:rsidP="00DD6FAC">
      <w:pPr>
        <w:spacing w:line="480" w:lineRule="auto"/>
        <w:jc w:val="both"/>
        <w:rPr>
          <w:rFonts w:ascii="Times New Roman" w:hAnsi="Times New Roman"/>
          <w:sz w:val="24"/>
          <w:szCs w:val="24"/>
        </w:rPr>
      </w:pPr>
      <w:r w:rsidRPr="00DD6FAC">
        <w:rPr>
          <w:rFonts w:ascii="Times New Roman" w:hAnsi="Times New Roman"/>
          <w:sz w:val="24"/>
          <w:szCs w:val="24"/>
        </w:rPr>
        <w:t xml:space="preserve">For the </w:t>
      </w:r>
      <w:r w:rsidR="00EF51DA" w:rsidRPr="00DD6FAC">
        <w:rPr>
          <w:rFonts w:ascii="Times New Roman" w:hAnsi="Times New Roman"/>
          <w:sz w:val="24"/>
          <w:szCs w:val="24"/>
        </w:rPr>
        <w:t>“</w:t>
      </w:r>
      <w:r w:rsidRPr="00DD6FAC">
        <w:rPr>
          <w:rFonts w:ascii="Times New Roman" w:hAnsi="Times New Roman"/>
          <w:i/>
          <w:sz w:val="24"/>
          <w:szCs w:val="24"/>
        </w:rPr>
        <w:t>Entertainer</w:t>
      </w:r>
      <w:r w:rsidR="00EF51DA" w:rsidRPr="00DD6FAC">
        <w:rPr>
          <w:rFonts w:ascii="Times New Roman" w:hAnsi="Times New Roman"/>
          <w:sz w:val="24"/>
          <w:szCs w:val="24"/>
        </w:rPr>
        <w:t>”</w:t>
      </w:r>
      <w:r w:rsidRPr="00DD6FAC">
        <w:rPr>
          <w:rFonts w:ascii="Times New Roman" w:hAnsi="Times New Roman"/>
          <w:sz w:val="24"/>
          <w:szCs w:val="24"/>
        </w:rPr>
        <w:t xml:space="preserve"> segment, Use of Novel Instruments (.828) rated the highest.  This was followed by Attitude Toward Risk (.739).  The third highest correlation was Compensation Vs. Commission (.623).</w:t>
      </w:r>
      <w:r w:rsidR="003665CA" w:rsidRPr="00DD6FAC">
        <w:rPr>
          <w:rFonts w:ascii="Times New Roman" w:hAnsi="Times New Roman"/>
          <w:sz w:val="24"/>
          <w:szCs w:val="24"/>
        </w:rPr>
        <w:t xml:space="preserve">  </w:t>
      </w:r>
      <w:r w:rsidR="00EF51DA" w:rsidRPr="00DD6FAC">
        <w:rPr>
          <w:rFonts w:ascii="Times New Roman" w:hAnsi="Times New Roman"/>
          <w:sz w:val="24"/>
          <w:szCs w:val="24"/>
        </w:rPr>
        <w:t>“</w:t>
      </w:r>
      <w:r w:rsidR="003665CA" w:rsidRPr="00DD6FAC">
        <w:rPr>
          <w:rFonts w:ascii="Times New Roman" w:hAnsi="Times New Roman"/>
          <w:i/>
          <w:sz w:val="24"/>
          <w:szCs w:val="24"/>
        </w:rPr>
        <w:t>Entertainers</w:t>
      </w:r>
      <w:r w:rsidR="00EF51DA" w:rsidRPr="00DD6FAC">
        <w:rPr>
          <w:rFonts w:ascii="Times New Roman" w:hAnsi="Times New Roman"/>
          <w:sz w:val="24"/>
          <w:szCs w:val="24"/>
        </w:rPr>
        <w:t>”</w:t>
      </w:r>
      <w:r w:rsidR="003665CA" w:rsidRPr="00DD6FAC">
        <w:rPr>
          <w:rFonts w:ascii="Times New Roman" w:hAnsi="Times New Roman"/>
          <w:sz w:val="24"/>
          <w:szCs w:val="24"/>
        </w:rPr>
        <w:t xml:space="preserve"> are usually relatively new to the world of investments</w:t>
      </w:r>
      <w:r w:rsidR="00111200" w:rsidRPr="00DD6FAC">
        <w:rPr>
          <w:rFonts w:ascii="Times New Roman" w:hAnsi="Times New Roman"/>
          <w:sz w:val="24"/>
          <w:szCs w:val="24"/>
        </w:rPr>
        <w:t xml:space="preserve"> with limited knowledge;</w:t>
      </w:r>
      <w:r w:rsidR="00EF51DA" w:rsidRPr="00DD6FAC">
        <w:rPr>
          <w:rFonts w:ascii="Times New Roman" w:hAnsi="Times New Roman"/>
          <w:sz w:val="24"/>
          <w:szCs w:val="24"/>
        </w:rPr>
        <w:t xml:space="preserve"> they are also </w:t>
      </w:r>
      <w:r w:rsidR="00111200" w:rsidRPr="00DD6FAC">
        <w:rPr>
          <w:rFonts w:ascii="Times New Roman" w:hAnsi="Times New Roman"/>
          <w:sz w:val="24"/>
          <w:szCs w:val="24"/>
        </w:rPr>
        <w:t xml:space="preserve">likely to be </w:t>
      </w:r>
      <w:r w:rsidR="007C2A6F">
        <w:rPr>
          <w:rFonts w:ascii="Times New Roman" w:hAnsi="Times New Roman"/>
          <w:sz w:val="24"/>
          <w:szCs w:val="24"/>
        </w:rPr>
        <w:t>more open</w:t>
      </w:r>
      <w:r w:rsidR="00EF51DA" w:rsidRPr="00DD6FAC">
        <w:rPr>
          <w:rFonts w:ascii="Times New Roman" w:hAnsi="Times New Roman"/>
          <w:sz w:val="24"/>
          <w:szCs w:val="24"/>
        </w:rPr>
        <w:t xml:space="preserve"> to </w:t>
      </w:r>
      <w:r w:rsidR="00111200" w:rsidRPr="00DD6FAC">
        <w:rPr>
          <w:rFonts w:ascii="Times New Roman" w:hAnsi="Times New Roman"/>
          <w:sz w:val="24"/>
          <w:szCs w:val="24"/>
        </w:rPr>
        <w:t xml:space="preserve">creative </w:t>
      </w:r>
      <w:r w:rsidR="00EF51DA" w:rsidRPr="00DD6FAC">
        <w:rPr>
          <w:rFonts w:ascii="Times New Roman" w:hAnsi="Times New Roman"/>
          <w:sz w:val="24"/>
          <w:szCs w:val="24"/>
        </w:rPr>
        <w:t>ideas</w:t>
      </w:r>
      <w:r w:rsidR="00111200" w:rsidRPr="00DD6FAC">
        <w:rPr>
          <w:rFonts w:ascii="Times New Roman" w:hAnsi="Times New Roman"/>
          <w:sz w:val="24"/>
          <w:szCs w:val="24"/>
        </w:rPr>
        <w:t xml:space="preserve">.  The combination results </w:t>
      </w:r>
      <w:r w:rsidR="007F2971">
        <w:rPr>
          <w:rFonts w:ascii="Times New Roman" w:hAnsi="Times New Roman"/>
          <w:sz w:val="24"/>
          <w:szCs w:val="24"/>
        </w:rPr>
        <w:t xml:space="preserve">in </w:t>
      </w:r>
      <w:r w:rsidR="00111200" w:rsidRPr="00DD6FAC">
        <w:rPr>
          <w:rFonts w:ascii="Times New Roman" w:hAnsi="Times New Roman"/>
          <w:sz w:val="24"/>
          <w:szCs w:val="24"/>
        </w:rPr>
        <w:t xml:space="preserve">members of this segment </w:t>
      </w:r>
      <w:r w:rsidR="007F2971">
        <w:rPr>
          <w:rFonts w:ascii="Times New Roman" w:hAnsi="Times New Roman"/>
          <w:sz w:val="24"/>
          <w:szCs w:val="24"/>
        </w:rPr>
        <w:t xml:space="preserve">being </w:t>
      </w:r>
      <w:r w:rsidR="003665CA" w:rsidRPr="00DD6FAC">
        <w:rPr>
          <w:rFonts w:ascii="Times New Roman" w:hAnsi="Times New Roman"/>
          <w:sz w:val="24"/>
          <w:szCs w:val="24"/>
        </w:rPr>
        <w:t>more likely to invest in the more novel in</w:t>
      </w:r>
      <w:r w:rsidR="00E337B8">
        <w:rPr>
          <w:rFonts w:ascii="Times New Roman" w:hAnsi="Times New Roman"/>
          <w:sz w:val="24"/>
          <w:szCs w:val="24"/>
        </w:rPr>
        <w:t>vestment strategies e.g., Bernie Madoff.</w:t>
      </w:r>
    </w:p>
    <w:p w:rsidR="006251CE" w:rsidRPr="00DD6FAC" w:rsidRDefault="003665CA" w:rsidP="00DD6FAC">
      <w:pPr>
        <w:spacing w:line="480" w:lineRule="auto"/>
        <w:jc w:val="both"/>
        <w:rPr>
          <w:rFonts w:ascii="Times New Roman" w:hAnsi="Times New Roman"/>
          <w:sz w:val="24"/>
          <w:szCs w:val="24"/>
        </w:rPr>
      </w:pPr>
      <w:r w:rsidRPr="00DD6FAC">
        <w:rPr>
          <w:rFonts w:ascii="Times New Roman" w:hAnsi="Times New Roman"/>
          <w:sz w:val="24"/>
          <w:szCs w:val="24"/>
        </w:rPr>
        <w:t>The attitude toward risk was also highly correlated with this segment.  This tends to be more reflective of a new money segment.  Coming from a less wealthy background makes one much more concerned with risk and the level of commissions.</w:t>
      </w:r>
      <w:r w:rsidR="00EF51DA" w:rsidRPr="00DD6FAC">
        <w:rPr>
          <w:rFonts w:ascii="Times New Roman" w:hAnsi="Times New Roman"/>
          <w:sz w:val="24"/>
          <w:szCs w:val="24"/>
        </w:rPr>
        <w:t xml:space="preserve"> </w:t>
      </w:r>
    </w:p>
    <w:p w:rsidR="00B758BC" w:rsidRPr="00DD6FAC" w:rsidRDefault="00B758BC" w:rsidP="00DD6FAC">
      <w:pPr>
        <w:pStyle w:val="Heading3"/>
        <w:spacing w:line="480" w:lineRule="auto"/>
        <w:jc w:val="both"/>
        <w:rPr>
          <w:rFonts w:ascii="Times New Roman" w:hAnsi="Times New Roman" w:cs="Times New Roman"/>
          <w:color w:val="auto"/>
          <w:sz w:val="24"/>
          <w:szCs w:val="24"/>
        </w:rPr>
      </w:pPr>
      <w:r w:rsidRPr="00DD6FAC">
        <w:rPr>
          <w:rFonts w:ascii="Times New Roman" w:hAnsi="Times New Roman" w:cs="Times New Roman"/>
          <w:color w:val="auto"/>
          <w:sz w:val="24"/>
          <w:szCs w:val="24"/>
        </w:rPr>
        <w:t>Executives</w:t>
      </w:r>
      <w:r w:rsidR="00061F6F" w:rsidRPr="00DD6FAC">
        <w:rPr>
          <w:rFonts w:ascii="Times New Roman" w:hAnsi="Times New Roman" w:cs="Times New Roman"/>
          <w:color w:val="auto"/>
          <w:sz w:val="24"/>
          <w:szCs w:val="24"/>
        </w:rPr>
        <w:t xml:space="preserve"> Segment</w:t>
      </w:r>
    </w:p>
    <w:p w:rsidR="00B41D9A" w:rsidRPr="00DD6FAC" w:rsidRDefault="00B758BC" w:rsidP="00DD6FAC">
      <w:pPr>
        <w:spacing w:line="480" w:lineRule="auto"/>
        <w:jc w:val="both"/>
        <w:rPr>
          <w:rFonts w:ascii="Times New Roman" w:hAnsi="Times New Roman"/>
          <w:sz w:val="24"/>
          <w:szCs w:val="24"/>
        </w:rPr>
      </w:pPr>
      <w:r w:rsidRPr="00DD6FAC">
        <w:rPr>
          <w:rFonts w:ascii="Times New Roman" w:hAnsi="Times New Roman"/>
          <w:sz w:val="24"/>
          <w:szCs w:val="24"/>
        </w:rPr>
        <w:t>Attitude Toward Risks had the highest correlation (.838)</w:t>
      </w:r>
      <w:r w:rsidR="00111200" w:rsidRPr="00DD6FAC">
        <w:rPr>
          <w:rFonts w:ascii="Times New Roman" w:hAnsi="Times New Roman"/>
          <w:sz w:val="24"/>
          <w:szCs w:val="24"/>
        </w:rPr>
        <w:t xml:space="preserve"> in the “</w:t>
      </w:r>
      <w:r w:rsidR="00111200" w:rsidRPr="00DD6FAC">
        <w:rPr>
          <w:rFonts w:ascii="Times New Roman" w:hAnsi="Times New Roman"/>
          <w:i/>
          <w:sz w:val="24"/>
          <w:szCs w:val="24"/>
        </w:rPr>
        <w:t>Executives</w:t>
      </w:r>
      <w:r w:rsidR="00111200" w:rsidRPr="00DD6FAC">
        <w:rPr>
          <w:rFonts w:ascii="Times New Roman" w:hAnsi="Times New Roman"/>
          <w:sz w:val="24"/>
          <w:szCs w:val="24"/>
        </w:rPr>
        <w:t>” segment</w:t>
      </w:r>
      <w:r w:rsidRPr="00DD6FAC">
        <w:rPr>
          <w:rFonts w:ascii="Times New Roman" w:hAnsi="Times New Roman"/>
          <w:sz w:val="24"/>
          <w:szCs w:val="24"/>
        </w:rPr>
        <w:t>.  This was followed by Use of Novel Instruments (.758).  The third highest correlation was Network Relationship (Confidentially) Vs. Information (.742).</w:t>
      </w:r>
      <w:r w:rsidR="003665CA" w:rsidRPr="00DD6FAC">
        <w:rPr>
          <w:rFonts w:ascii="Times New Roman" w:hAnsi="Times New Roman"/>
          <w:sz w:val="24"/>
          <w:szCs w:val="24"/>
        </w:rPr>
        <w:t xml:space="preserve">  This segment tends to reflect a new money segment as well with risk being the most critical variable.  However, the use of novel instruments would be reflective of a more experience attitude toward investment methods rather inexperience associated with the </w:t>
      </w:r>
      <w:r w:rsidR="00EF51DA" w:rsidRPr="00DD6FAC">
        <w:rPr>
          <w:rFonts w:ascii="Times New Roman" w:hAnsi="Times New Roman"/>
          <w:sz w:val="24"/>
          <w:szCs w:val="24"/>
        </w:rPr>
        <w:t>“</w:t>
      </w:r>
      <w:r w:rsidR="003665CA" w:rsidRPr="00DD6FAC">
        <w:rPr>
          <w:rFonts w:ascii="Times New Roman" w:hAnsi="Times New Roman"/>
          <w:i/>
          <w:sz w:val="24"/>
          <w:szCs w:val="24"/>
        </w:rPr>
        <w:t>Entertainer</w:t>
      </w:r>
      <w:r w:rsidR="00EF51DA" w:rsidRPr="00DD6FAC">
        <w:rPr>
          <w:rFonts w:ascii="Times New Roman" w:hAnsi="Times New Roman"/>
          <w:sz w:val="24"/>
          <w:szCs w:val="24"/>
        </w:rPr>
        <w:t>”</w:t>
      </w:r>
      <w:r w:rsidR="003665CA" w:rsidRPr="00DD6FAC">
        <w:rPr>
          <w:rFonts w:ascii="Times New Roman" w:hAnsi="Times New Roman"/>
          <w:sz w:val="24"/>
          <w:szCs w:val="24"/>
        </w:rPr>
        <w:t xml:space="preserve"> segment.  </w:t>
      </w:r>
      <w:r w:rsidR="00EF51DA" w:rsidRPr="00DD6FAC">
        <w:rPr>
          <w:rFonts w:ascii="Times New Roman" w:hAnsi="Times New Roman"/>
          <w:sz w:val="24"/>
          <w:szCs w:val="24"/>
        </w:rPr>
        <w:t>“</w:t>
      </w:r>
      <w:r w:rsidR="003665CA" w:rsidRPr="00DD6FAC">
        <w:rPr>
          <w:rFonts w:ascii="Times New Roman" w:hAnsi="Times New Roman"/>
          <w:i/>
          <w:sz w:val="24"/>
          <w:szCs w:val="24"/>
        </w:rPr>
        <w:t>Executives</w:t>
      </w:r>
      <w:r w:rsidR="00EF51DA" w:rsidRPr="00DD6FAC">
        <w:rPr>
          <w:rFonts w:ascii="Times New Roman" w:hAnsi="Times New Roman"/>
          <w:sz w:val="24"/>
          <w:szCs w:val="24"/>
        </w:rPr>
        <w:t>”</w:t>
      </w:r>
      <w:r w:rsidR="003665CA" w:rsidRPr="00DD6FAC">
        <w:rPr>
          <w:rFonts w:ascii="Times New Roman" w:hAnsi="Times New Roman"/>
          <w:sz w:val="24"/>
          <w:szCs w:val="24"/>
        </w:rPr>
        <w:t xml:space="preserve"> would be much more aware</w:t>
      </w:r>
      <w:r w:rsidR="003303D7" w:rsidRPr="00DD6FAC">
        <w:rPr>
          <w:rFonts w:ascii="Times New Roman" w:hAnsi="Times New Roman"/>
          <w:sz w:val="24"/>
          <w:szCs w:val="24"/>
        </w:rPr>
        <w:t xml:space="preserve"> of more modern investment methods and approaches e.g., derivatives and foreign money markets.  Therefore, the </w:t>
      </w:r>
      <w:r w:rsidR="00EF51DA" w:rsidRPr="00DD6FAC">
        <w:rPr>
          <w:rFonts w:ascii="Times New Roman" w:hAnsi="Times New Roman"/>
          <w:sz w:val="24"/>
          <w:szCs w:val="24"/>
        </w:rPr>
        <w:t>“</w:t>
      </w:r>
      <w:r w:rsidR="003303D7" w:rsidRPr="00DD6FAC">
        <w:rPr>
          <w:rFonts w:ascii="Times New Roman" w:hAnsi="Times New Roman"/>
          <w:i/>
          <w:sz w:val="24"/>
          <w:szCs w:val="24"/>
        </w:rPr>
        <w:t>Executive</w:t>
      </w:r>
      <w:r w:rsidR="00EF51DA" w:rsidRPr="00DD6FAC">
        <w:rPr>
          <w:rFonts w:ascii="Times New Roman" w:hAnsi="Times New Roman"/>
          <w:sz w:val="24"/>
          <w:szCs w:val="24"/>
        </w:rPr>
        <w:t>”</w:t>
      </w:r>
      <w:r w:rsidR="003303D7" w:rsidRPr="00DD6FAC">
        <w:rPr>
          <w:rFonts w:ascii="Times New Roman" w:hAnsi="Times New Roman"/>
          <w:sz w:val="24"/>
          <w:szCs w:val="24"/>
        </w:rPr>
        <w:t xml:space="preserve"> </w:t>
      </w:r>
      <w:r w:rsidR="003303D7" w:rsidRPr="00DD6FAC">
        <w:rPr>
          <w:rFonts w:ascii="Times New Roman" w:hAnsi="Times New Roman"/>
          <w:sz w:val="24"/>
          <w:szCs w:val="24"/>
        </w:rPr>
        <w:lastRenderedPageBreak/>
        <w:t>segment would have a sophisticated appreciation for the risk/return tradeoff for investment vehicles.</w:t>
      </w:r>
    </w:p>
    <w:p w:rsidR="00B41D9A" w:rsidRPr="00DD6FAC" w:rsidRDefault="00B758BC" w:rsidP="00DD6FAC">
      <w:pPr>
        <w:pStyle w:val="Heading3"/>
        <w:spacing w:line="480" w:lineRule="auto"/>
        <w:jc w:val="both"/>
        <w:rPr>
          <w:rFonts w:ascii="Times New Roman" w:hAnsi="Times New Roman" w:cs="Times New Roman"/>
          <w:color w:val="auto"/>
          <w:sz w:val="24"/>
          <w:szCs w:val="24"/>
        </w:rPr>
      </w:pPr>
      <w:r w:rsidRPr="00DD6FAC">
        <w:rPr>
          <w:rFonts w:ascii="Times New Roman" w:hAnsi="Times New Roman" w:cs="Times New Roman"/>
          <w:color w:val="auto"/>
          <w:sz w:val="24"/>
          <w:szCs w:val="24"/>
        </w:rPr>
        <w:t>Entrepreneurs</w:t>
      </w:r>
      <w:r w:rsidR="00061F6F" w:rsidRPr="00DD6FAC">
        <w:rPr>
          <w:rFonts w:ascii="Times New Roman" w:hAnsi="Times New Roman" w:cs="Times New Roman"/>
          <w:color w:val="auto"/>
          <w:sz w:val="24"/>
          <w:szCs w:val="24"/>
        </w:rPr>
        <w:t xml:space="preserve"> Segment</w:t>
      </w:r>
    </w:p>
    <w:p w:rsidR="00B758BC" w:rsidRPr="00DD6FAC" w:rsidRDefault="00EF51DA" w:rsidP="00DD6FAC">
      <w:pPr>
        <w:spacing w:line="480" w:lineRule="auto"/>
        <w:jc w:val="both"/>
        <w:rPr>
          <w:rFonts w:ascii="Times New Roman" w:hAnsi="Times New Roman"/>
          <w:sz w:val="24"/>
          <w:szCs w:val="24"/>
        </w:rPr>
      </w:pPr>
      <w:r w:rsidRPr="00DD6FAC">
        <w:rPr>
          <w:rFonts w:ascii="Times New Roman" w:hAnsi="Times New Roman"/>
          <w:sz w:val="24"/>
          <w:szCs w:val="24"/>
        </w:rPr>
        <w:t>“</w:t>
      </w:r>
      <w:r w:rsidR="00AB78FB" w:rsidRPr="00DD6FAC">
        <w:rPr>
          <w:rFonts w:ascii="Times New Roman" w:hAnsi="Times New Roman"/>
          <w:i/>
          <w:sz w:val="24"/>
          <w:szCs w:val="24"/>
        </w:rPr>
        <w:t>Entrepreneurs</w:t>
      </w:r>
      <w:r w:rsidRPr="00DD6FAC">
        <w:rPr>
          <w:rFonts w:ascii="Times New Roman" w:hAnsi="Times New Roman"/>
          <w:sz w:val="24"/>
          <w:szCs w:val="24"/>
        </w:rPr>
        <w:t>”</w:t>
      </w:r>
      <w:r w:rsidR="00AB78FB" w:rsidRPr="00DD6FAC">
        <w:rPr>
          <w:rFonts w:ascii="Times New Roman" w:hAnsi="Times New Roman"/>
          <w:sz w:val="24"/>
          <w:szCs w:val="24"/>
        </w:rPr>
        <w:t xml:space="preserve"> preferred Use of Novel Instruments (.847).  The second highest correlation for </w:t>
      </w:r>
      <w:r w:rsidRPr="00DD6FAC">
        <w:rPr>
          <w:rFonts w:ascii="Times New Roman" w:hAnsi="Times New Roman"/>
          <w:sz w:val="24"/>
          <w:szCs w:val="24"/>
        </w:rPr>
        <w:t>“</w:t>
      </w:r>
      <w:r w:rsidRPr="00DD6FAC">
        <w:rPr>
          <w:rFonts w:ascii="Times New Roman" w:hAnsi="Times New Roman"/>
          <w:i/>
          <w:sz w:val="24"/>
          <w:szCs w:val="24"/>
        </w:rPr>
        <w:t>Entrepreneurs</w:t>
      </w:r>
      <w:r w:rsidRPr="00DD6FAC">
        <w:rPr>
          <w:rFonts w:ascii="Times New Roman" w:hAnsi="Times New Roman"/>
          <w:sz w:val="24"/>
          <w:szCs w:val="24"/>
        </w:rPr>
        <w:t xml:space="preserve">” </w:t>
      </w:r>
      <w:r w:rsidR="00AB78FB" w:rsidRPr="00DD6FAC">
        <w:rPr>
          <w:rFonts w:ascii="Times New Roman" w:hAnsi="Times New Roman"/>
          <w:sz w:val="24"/>
          <w:szCs w:val="24"/>
        </w:rPr>
        <w:t>was Investment Style (Discretionary) Vs. Active (.826)</w:t>
      </w:r>
      <w:r w:rsidR="00B47655" w:rsidRPr="00DD6FAC">
        <w:rPr>
          <w:rFonts w:ascii="Times New Roman" w:hAnsi="Times New Roman"/>
          <w:sz w:val="24"/>
          <w:szCs w:val="24"/>
        </w:rPr>
        <w:t xml:space="preserve">.  Thirdly, </w:t>
      </w:r>
      <w:r w:rsidRPr="00DD6FAC">
        <w:rPr>
          <w:rFonts w:ascii="Times New Roman" w:hAnsi="Times New Roman"/>
          <w:sz w:val="24"/>
          <w:szCs w:val="24"/>
        </w:rPr>
        <w:t>“</w:t>
      </w:r>
      <w:r w:rsidRPr="00DD6FAC">
        <w:rPr>
          <w:rFonts w:ascii="Times New Roman" w:hAnsi="Times New Roman"/>
          <w:i/>
          <w:sz w:val="24"/>
          <w:szCs w:val="24"/>
        </w:rPr>
        <w:t>Entrepreneurs</w:t>
      </w:r>
      <w:r w:rsidRPr="00DD6FAC">
        <w:rPr>
          <w:rFonts w:ascii="Times New Roman" w:hAnsi="Times New Roman"/>
          <w:sz w:val="24"/>
          <w:szCs w:val="24"/>
        </w:rPr>
        <w:t xml:space="preserve">” </w:t>
      </w:r>
      <w:r w:rsidR="00B47655" w:rsidRPr="00DD6FAC">
        <w:rPr>
          <w:rFonts w:ascii="Times New Roman" w:hAnsi="Times New Roman"/>
          <w:sz w:val="24"/>
          <w:szCs w:val="24"/>
        </w:rPr>
        <w:t>preferred Balance Sheet Focus (.681).</w:t>
      </w:r>
      <w:r w:rsidR="003303D7" w:rsidRPr="00DD6FAC">
        <w:rPr>
          <w:rFonts w:ascii="Times New Roman" w:hAnsi="Times New Roman"/>
          <w:sz w:val="24"/>
          <w:szCs w:val="24"/>
        </w:rPr>
        <w:t xml:space="preserve">  This segment also reflected a very different profile from the others, which also supports the segmentation profiles.  </w:t>
      </w:r>
      <w:r w:rsidRPr="00DD6FAC">
        <w:rPr>
          <w:rFonts w:ascii="Times New Roman" w:hAnsi="Times New Roman"/>
          <w:sz w:val="24"/>
          <w:szCs w:val="24"/>
        </w:rPr>
        <w:t>“</w:t>
      </w:r>
      <w:r w:rsidRPr="00DD6FAC">
        <w:rPr>
          <w:rFonts w:ascii="Times New Roman" w:hAnsi="Times New Roman"/>
          <w:i/>
          <w:sz w:val="24"/>
          <w:szCs w:val="24"/>
        </w:rPr>
        <w:t>Entrepreneurs</w:t>
      </w:r>
      <w:r w:rsidRPr="00DD6FAC">
        <w:rPr>
          <w:rFonts w:ascii="Times New Roman" w:hAnsi="Times New Roman"/>
          <w:sz w:val="24"/>
          <w:szCs w:val="24"/>
        </w:rPr>
        <w:t xml:space="preserve">” </w:t>
      </w:r>
      <w:r w:rsidR="003303D7" w:rsidRPr="00DD6FAC">
        <w:rPr>
          <w:rFonts w:ascii="Times New Roman" w:hAnsi="Times New Roman"/>
          <w:sz w:val="24"/>
          <w:szCs w:val="24"/>
        </w:rPr>
        <w:t xml:space="preserve">would be very knowledgeable regarding a variety of investment methods based on experiences with venture capitalists and banks leveraging debt. As </w:t>
      </w:r>
      <w:r w:rsidRPr="00DD6FAC">
        <w:rPr>
          <w:rFonts w:ascii="Times New Roman" w:hAnsi="Times New Roman"/>
          <w:sz w:val="24"/>
          <w:szCs w:val="24"/>
        </w:rPr>
        <w:t>“</w:t>
      </w:r>
      <w:r w:rsidRPr="00DD6FAC">
        <w:rPr>
          <w:rFonts w:ascii="Times New Roman" w:hAnsi="Times New Roman"/>
          <w:i/>
          <w:sz w:val="24"/>
          <w:szCs w:val="24"/>
        </w:rPr>
        <w:t>Entrepreneurs</w:t>
      </w:r>
      <w:r w:rsidRPr="00DD6FAC">
        <w:rPr>
          <w:rFonts w:ascii="Times New Roman" w:hAnsi="Times New Roman"/>
          <w:sz w:val="24"/>
          <w:szCs w:val="24"/>
        </w:rPr>
        <w:t>”</w:t>
      </w:r>
      <w:r w:rsidR="003303D7" w:rsidRPr="00DD6FAC">
        <w:rPr>
          <w:rFonts w:ascii="Times New Roman" w:hAnsi="Times New Roman"/>
          <w:sz w:val="24"/>
          <w:szCs w:val="24"/>
        </w:rPr>
        <w:t>, they would also have a different risk/return profile which would support a more active investment style given the level of individualism displayed by this group.</w:t>
      </w:r>
    </w:p>
    <w:p w:rsidR="00476A6A" w:rsidRPr="00DD6FAC" w:rsidRDefault="00476A6A" w:rsidP="00DD6FAC">
      <w:pPr>
        <w:pStyle w:val="Heading3"/>
        <w:spacing w:line="480" w:lineRule="auto"/>
        <w:jc w:val="both"/>
        <w:rPr>
          <w:rFonts w:ascii="Times New Roman" w:hAnsi="Times New Roman" w:cs="Times New Roman"/>
          <w:color w:val="auto"/>
          <w:sz w:val="24"/>
          <w:szCs w:val="24"/>
        </w:rPr>
      </w:pPr>
    </w:p>
    <w:p w:rsidR="00F82922" w:rsidRPr="00E337B8" w:rsidRDefault="00F82922" w:rsidP="00E337B8">
      <w:pPr>
        <w:pStyle w:val="Heading3"/>
        <w:spacing w:line="480" w:lineRule="auto"/>
        <w:jc w:val="both"/>
        <w:rPr>
          <w:rFonts w:ascii="Times New Roman" w:hAnsi="Times New Roman" w:cs="Times New Roman"/>
          <w:color w:val="auto"/>
          <w:sz w:val="24"/>
          <w:szCs w:val="24"/>
        </w:rPr>
      </w:pPr>
      <w:r w:rsidRPr="00DD6FAC">
        <w:rPr>
          <w:rFonts w:ascii="Times New Roman" w:hAnsi="Times New Roman" w:cs="Times New Roman"/>
          <w:color w:val="auto"/>
          <w:sz w:val="24"/>
          <w:szCs w:val="24"/>
        </w:rPr>
        <w:t>ANOVA Results</w:t>
      </w:r>
    </w:p>
    <w:p w:rsidR="00F82922" w:rsidRPr="00DD6FAC" w:rsidRDefault="00F82922" w:rsidP="00DD6FAC">
      <w:pPr>
        <w:spacing w:line="480" w:lineRule="auto"/>
        <w:jc w:val="both"/>
        <w:rPr>
          <w:rFonts w:ascii="Times New Roman" w:hAnsi="Times New Roman"/>
          <w:sz w:val="24"/>
          <w:szCs w:val="24"/>
        </w:rPr>
      </w:pPr>
      <w:r w:rsidRPr="00DD6FAC">
        <w:rPr>
          <w:rFonts w:ascii="Times New Roman" w:hAnsi="Times New Roman"/>
          <w:sz w:val="24"/>
          <w:szCs w:val="24"/>
        </w:rPr>
        <w:t xml:space="preserve">We found that of the nine investment behaviors, seven were significantly different at the 0.05 level.  Results are shown in Table </w:t>
      </w:r>
      <w:r w:rsidR="00C72559">
        <w:rPr>
          <w:rFonts w:ascii="Times New Roman" w:hAnsi="Times New Roman"/>
          <w:sz w:val="24"/>
          <w:szCs w:val="24"/>
        </w:rPr>
        <w:t>5</w:t>
      </w:r>
      <w:r w:rsidRPr="00DD6FAC">
        <w:rPr>
          <w:rFonts w:ascii="Times New Roman" w:hAnsi="Times New Roman"/>
          <w:sz w:val="24"/>
          <w:szCs w:val="24"/>
        </w:rPr>
        <w:t xml:space="preserve">.  The only two investment behaviors that were not significant were </w:t>
      </w:r>
      <w:r w:rsidR="008621D7" w:rsidRPr="00DD6FAC">
        <w:rPr>
          <w:rFonts w:ascii="Times New Roman" w:hAnsi="Times New Roman"/>
          <w:sz w:val="24"/>
          <w:szCs w:val="24"/>
        </w:rPr>
        <w:t>“</w:t>
      </w:r>
      <w:r w:rsidRPr="00DD6FAC">
        <w:rPr>
          <w:rFonts w:ascii="Times New Roman" w:hAnsi="Times New Roman"/>
          <w:sz w:val="24"/>
          <w:szCs w:val="24"/>
        </w:rPr>
        <w:t xml:space="preserve">Legacy vs. Social </w:t>
      </w:r>
      <w:r w:rsidR="008621D7" w:rsidRPr="00DD6FAC">
        <w:rPr>
          <w:rFonts w:ascii="Times New Roman" w:hAnsi="Times New Roman"/>
          <w:sz w:val="24"/>
          <w:szCs w:val="24"/>
        </w:rPr>
        <w:t xml:space="preserve">Relationship” </w:t>
      </w:r>
      <w:r w:rsidRPr="00DD6FAC">
        <w:rPr>
          <w:rFonts w:ascii="Times New Roman" w:hAnsi="Times New Roman"/>
          <w:sz w:val="24"/>
          <w:szCs w:val="24"/>
        </w:rPr>
        <w:t xml:space="preserve">and </w:t>
      </w:r>
      <w:r w:rsidR="008621D7" w:rsidRPr="00DD6FAC">
        <w:rPr>
          <w:rFonts w:ascii="Times New Roman" w:hAnsi="Times New Roman"/>
          <w:sz w:val="24"/>
          <w:szCs w:val="24"/>
        </w:rPr>
        <w:t>“AUM</w:t>
      </w:r>
      <w:r w:rsidRPr="00DD6FAC">
        <w:rPr>
          <w:rFonts w:ascii="Times New Roman" w:hAnsi="Times New Roman"/>
          <w:sz w:val="24"/>
          <w:szCs w:val="24"/>
        </w:rPr>
        <w:t xml:space="preserve"> vs. Commission</w:t>
      </w:r>
      <w:r w:rsidR="008621D7" w:rsidRPr="00DD6FAC">
        <w:rPr>
          <w:rFonts w:ascii="Times New Roman" w:hAnsi="Times New Roman"/>
          <w:sz w:val="24"/>
          <w:szCs w:val="24"/>
        </w:rPr>
        <w:t xml:space="preserve"> compensation</w:t>
      </w:r>
      <w:r w:rsidRPr="00DD6FAC">
        <w:rPr>
          <w:rFonts w:ascii="Times New Roman" w:hAnsi="Times New Roman"/>
          <w:sz w:val="24"/>
          <w:szCs w:val="24"/>
        </w:rPr>
        <w:t>.</w:t>
      </w:r>
      <w:r w:rsidR="008621D7" w:rsidRPr="00DD6FAC">
        <w:rPr>
          <w:rFonts w:ascii="Times New Roman" w:hAnsi="Times New Roman"/>
          <w:sz w:val="24"/>
          <w:szCs w:val="24"/>
        </w:rPr>
        <w:t>”</w:t>
      </w:r>
      <w:r w:rsidRPr="00DD6FAC">
        <w:rPr>
          <w:rFonts w:ascii="Times New Roman" w:hAnsi="Times New Roman"/>
          <w:sz w:val="24"/>
          <w:szCs w:val="24"/>
        </w:rPr>
        <w:t xml:space="preserve">  These results reflect that the investment behaviors differentiate between the 4 E Segments a vast majority of the time.</w:t>
      </w:r>
      <w:r w:rsidR="00111200" w:rsidRPr="00DD6FAC">
        <w:rPr>
          <w:rFonts w:ascii="Times New Roman" w:hAnsi="Times New Roman"/>
          <w:sz w:val="24"/>
          <w:szCs w:val="24"/>
        </w:rPr>
        <w:t xml:space="preserve"> </w:t>
      </w:r>
      <w:r w:rsidR="001E5E24">
        <w:rPr>
          <w:rFonts w:ascii="Times New Roman" w:hAnsi="Times New Roman"/>
          <w:sz w:val="24"/>
          <w:szCs w:val="24"/>
        </w:rPr>
        <w:t xml:space="preserve">  Regarding the lack of significance of the Legacy behavior, that is</w:t>
      </w:r>
      <w:r w:rsidR="00C939C1">
        <w:rPr>
          <w:rFonts w:ascii="Times New Roman" w:hAnsi="Times New Roman"/>
          <w:sz w:val="24"/>
          <w:szCs w:val="24"/>
        </w:rPr>
        <w:t>,</w:t>
      </w:r>
      <w:r w:rsidR="001E5E24">
        <w:rPr>
          <w:rFonts w:ascii="Times New Roman" w:hAnsi="Times New Roman"/>
          <w:sz w:val="24"/>
          <w:szCs w:val="24"/>
        </w:rPr>
        <w:t xml:space="preserve"> the</w:t>
      </w:r>
      <w:r w:rsidR="001E5E24" w:rsidRPr="00DD6FAC">
        <w:rPr>
          <w:rFonts w:ascii="Times New Roman" w:hAnsi="Times New Roman"/>
          <w:sz w:val="24"/>
          <w:szCs w:val="24"/>
        </w:rPr>
        <w:t xml:space="preserve"> client’s preference toward an inter-generational </w:t>
      </w:r>
      <w:r w:rsidR="001E5E24">
        <w:rPr>
          <w:rFonts w:ascii="Times New Roman" w:hAnsi="Times New Roman"/>
          <w:sz w:val="24"/>
          <w:szCs w:val="24"/>
        </w:rPr>
        <w:t>legacy versus a social legacy and the AUM vs. Commission compensation variable both may be an artifact of the sample that was primarly Chinese.  A lack of cultural diversity</w:t>
      </w:r>
      <w:r w:rsidR="00C939C1">
        <w:rPr>
          <w:rFonts w:ascii="Times New Roman" w:hAnsi="Times New Roman"/>
          <w:sz w:val="24"/>
          <w:szCs w:val="24"/>
        </w:rPr>
        <w:t xml:space="preserve"> and </w:t>
      </w:r>
      <w:r w:rsidR="00C939C1">
        <w:rPr>
          <w:rFonts w:ascii="Times New Roman" w:hAnsi="Times New Roman"/>
          <w:sz w:val="24"/>
          <w:szCs w:val="24"/>
        </w:rPr>
        <w:lastRenderedPageBreak/>
        <w:t>similarity in inveestment compensation practices of</w:t>
      </w:r>
      <w:r w:rsidR="001E5E24">
        <w:rPr>
          <w:rFonts w:ascii="Times New Roman" w:hAnsi="Times New Roman"/>
          <w:sz w:val="24"/>
          <w:szCs w:val="24"/>
        </w:rPr>
        <w:t xml:space="preserve"> the sample may have lead</w:t>
      </w:r>
      <w:r w:rsidR="00C939C1">
        <w:rPr>
          <w:rFonts w:ascii="Times New Roman" w:hAnsi="Times New Roman"/>
          <w:sz w:val="24"/>
          <w:szCs w:val="24"/>
        </w:rPr>
        <w:t xml:space="preserve"> to a lack for variabiliy in these variables.</w:t>
      </w:r>
    </w:p>
    <w:p w:rsidR="00B758BC" w:rsidRPr="00DD6FAC" w:rsidRDefault="00B47655" w:rsidP="00DD6FAC">
      <w:pPr>
        <w:pStyle w:val="Heading2"/>
        <w:spacing w:line="480" w:lineRule="auto"/>
        <w:jc w:val="both"/>
        <w:rPr>
          <w:rFonts w:ascii="Times New Roman" w:hAnsi="Times New Roman" w:cs="Times New Roman"/>
          <w:sz w:val="24"/>
          <w:szCs w:val="24"/>
        </w:rPr>
      </w:pPr>
      <w:r w:rsidRPr="00DD6FAC">
        <w:rPr>
          <w:rFonts w:ascii="Times New Roman" w:hAnsi="Times New Roman" w:cs="Times New Roman"/>
          <w:sz w:val="24"/>
          <w:szCs w:val="24"/>
        </w:rPr>
        <w:t>Conclusions</w:t>
      </w:r>
    </w:p>
    <w:p w:rsidR="00CE08DB" w:rsidRPr="00DD6FAC" w:rsidRDefault="00111200" w:rsidP="00DD6FAC">
      <w:pPr>
        <w:spacing w:before="100" w:beforeAutospacing="1" w:after="100" w:afterAutospacing="1" w:line="480" w:lineRule="auto"/>
        <w:jc w:val="both"/>
        <w:rPr>
          <w:rFonts w:ascii="Times New Roman" w:eastAsia="Times New Roman" w:hAnsi="Times New Roman"/>
          <w:sz w:val="24"/>
          <w:szCs w:val="24"/>
        </w:rPr>
      </w:pPr>
      <w:r w:rsidRPr="00DD6FAC">
        <w:rPr>
          <w:rFonts w:ascii="Times New Roman" w:eastAsia="Times New Roman" w:hAnsi="Times New Roman"/>
          <w:sz w:val="24"/>
          <w:szCs w:val="24"/>
        </w:rPr>
        <w:t xml:space="preserve">With the private banking sector developing into an increasingly significant segment in the banking world, it is important to acquire an understanding of this form of banking practice.  </w:t>
      </w:r>
      <w:r w:rsidR="00CE08DB" w:rsidRPr="00DD6FAC">
        <w:rPr>
          <w:rFonts w:ascii="Times New Roman" w:eastAsia="Times New Roman" w:hAnsi="Times New Roman"/>
          <w:sz w:val="24"/>
          <w:szCs w:val="24"/>
        </w:rPr>
        <w:t xml:space="preserve">However, research in this area has been limited to date.  This paper </w:t>
      </w:r>
      <w:r w:rsidR="00881587">
        <w:rPr>
          <w:rFonts w:ascii="Times New Roman" w:eastAsia="Times New Roman" w:hAnsi="Times New Roman"/>
          <w:sz w:val="24"/>
          <w:szCs w:val="24"/>
        </w:rPr>
        <w:t>unveiled some of the secrecy of private banking, following its evolution to serving the “</w:t>
      </w:r>
      <w:r w:rsidR="00881587" w:rsidRPr="00881587">
        <w:rPr>
          <w:rFonts w:ascii="Times New Roman" w:eastAsia="Times New Roman" w:hAnsi="Times New Roman"/>
          <w:i/>
          <w:sz w:val="24"/>
          <w:szCs w:val="24"/>
        </w:rPr>
        <w:t>endowed</w:t>
      </w:r>
      <w:r w:rsidR="00881587">
        <w:rPr>
          <w:rFonts w:ascii="Times New Roman" w:eastAsia="Times New Roman" w:hAnsi="Times New Roman"/>
          <w:sz w:val="24"/>
          <w:szCs w:val="24"/>
        </w:rPr>
        <w:t>” from Europe to the “</w:t>
      </w:r>
      <w:r w:rsidR="00881587" w:rsidRPr="00881587">
        <w:rPr>
          <w:rFonts w:ascii="Times New Roman" w:eastAsia="Times New Roman" w:hAnsi="Times New Roman"/>
          <w:i/>
          <w:sz w:val="24"/>
          <w:szCs w:val="24"/>
        </w:rPr>
        <w:t>entrepreneurs</w:t>
      </w:r>
      <w:r w:rsidR="00881587">
        <w:rPr>
          <w:rFonts w:ascii="Times New Roman" w:eastAsia="Times New Roman" w:hAnsi="Times New Roman"/>
          <w:sz w:val="24"/>
          <w:szCs w:val="24"/>
        </w:rPr>
        <w:t>” in the US and Asia to the new categories of “</w:t>
      </w:r>
      <w:r w:rsidR="00881587" w:rsidRPr="00881587">
        <w:rPr>
          <w:rFonts w:ascii="Times New Roman" w:eastAsia="Times New Roman" w:hAnsi="Times New Roman"/>
          <w:i/>
          <w:sz w:val="24"/>
          <w:szCs w:val="24"/>
        </w:rPr>
        <w:t>executives</w:t>
      </w:r>
      <w:r w:rsidR="00881587">
        <w:rPr>
          <w:rFonts w:ascii="Times New Roman" w:eastAsia="Times New Roman" w:hAnsi="Times New Roman"/>
          <w:sz w:val="24"/>
          <w:szCs w:val="24"/>
        </w:rPr>
        <w:t>” and “</w:t>
      </w:r>
      <w:r w:rsidR="00881587" w:rsidRPr="00881587">
        <w:rPr>
          <w:rFonts w:ascii="Times New Roman" w:eastAsia="Times New Roman" w:hAnsi="Times New Roman"/>
          <w:i/>
          <w:sz w:val="24"/>
          <w:szCs w:val="24"/>
        </w:rPr>
        <w:t>entertainers</w:t>
      </w:r>
      <w:r w:rsidR="00881587">
        <w:rPr>
          <w:rFonts w:ascii="Times New Roman" w:eastAsia="Times New Roman" w:hAnsi="Times New Roman"/>
          <w:sz w:val="24"/>
          <w:szCs w:val="24"/>
        </w:rPr>
        <w:t xml:space="preserve">.”  </w:t>
      </w:r>
    </w:p>
    <w:p w:rsidR="00887DE5" w:rsidRPr="00DD6FAC" w:rsidRDefault="00887DE5" w:rsidP="00DD6FAC">
      <w:pPr>
        <w:spacing w:before="100" w:beforeAutospacing="1" w:after="100" w:afterAutospacing="1" w:line="480" w:lineRule="auto"/>
        <w:jc w:val="both"/>
        <w:rPr>
          <w:rFonts w:ascii="Times New Roman" w:eastAsia="Times New Roman" w:hAnsi="Times New Roman"/>
          <w:sz w:val="24"/>
          <w:szCs w:val="24"/>
        </w:rPr>
      </w:pPr>
      <w:r w:rsidRPr="00DD6FAC">
        <w:rPr>
          <w:rFonts w:ascii="Times New Roman" w:hAnsi="Times New Roman"/>
          <w:sz w:val="24"/>
          <w:szCs w:val="24"/>
        </w:rPr>
        <w:t xml:space="preserve">Given these </w:t>
      </w:r>
      <w:r w:rsidR="00881587">
        <w:rPr>
          <w:rFonts w:ascii="Times New Roman" w:hAnsi="Times New Roman"/>
          <w:sz w:val="24"/>
          <w:szCs w:val="24"/>
        </w:rPr>
        <w:t>segments, we looked further into wh</w:t>
      </w:r>
      <w:r w:rsidR="00C939C1">
        <w:rPr>
          <w:rFonts w:ascii="Times New Roman" w:hAnsi="Times New Roman"/>
          <w:sz w:val="24"/>
          <w:szCs w:val="24"/>
        </w:rPr>
        <w:t>ether each segment is valid and whether each</w:t>
      </w:r>
      <w:r w:rsidR="00881587">
        <w:rPr>
          <w:rFonts w:ascii="Times New Roman" w:hAnsi="Times New Roman"/>
          <w:sz w:val="24"/>
          <w:szCs w:val="24"/>
        </w:rPr>
        <w:t xml:space="preserve"> is distinct and unique.  Our evidence obtained from private bankers offered support and </w:t>
      </w:r>
      <w:r w:rsidRPr="00DD6FAC">
        <w:rPr>
          <w:rFonts w:ascii="Times New Roman" w:hAnsi="Times New Roman"/>
          <w:sz w:val="24"/>
          <w:szCs w:val="24"/>
        </w:rPr>
        <w:t xml:space="preserve">we find that there is convergence between </w:t>
      </w:r>
      <w:r w:rsidR="008621D7" w:rsidRPr="00DD6FAC">
        <w:rPr>
          <w:rFonts w:ascii="Times New Roman" w:hAnsi="Times New Roman"/>
          <w:sz w:val="24"/>
          <w:szCs w:val="24"/>
        </w:rPr>
        <w:t xml:space="preserve">investor </w:t>
      </w:r>
      <w:r w:rsidRPr="00DD6FAC">
        <w:rPr>
          <w:rFonts w:ascii="Times New Roman" w:hAnsi="Times New Roman"/>
          <w:sz w:val="24"/>
          <w:szCs w:val="24"/>
        </w:rPr>
        <w:t xml:space="preserve">behaviors and the segments selected.  However, model testing and confirmatory factor analysis in future research would lead to much more confidence in using these segments in private banking.  </w:t>
      </w:r>
      <w:r w:rsidR="00E337B8">
        <w:rPr>
          <w:rFonts w:ascii="Times New Roman" w:hAnsi="Times New Roman"/>
          <w:sz w:val="24"/>
          <w:szCs w:val="24"/>
        </w:rPr>
        <w:t xml:space="preserve">Unfortunately, our measurement method did not allow for model testing or confirmatory factor analysis.  </w:t>
      </w:r>
      <w:r w:rsidRPr="00DD6FAC">
        <w:rPr>
          <w:rFonts w:ascii="Times New Roman" w:hAnsi="Times New Roman"/>
          <w:sz w:val="24"/>
          <w:szCs w:val="24"/>
        </w:rPr>
        <w:t xml:space="preserve">The results do show that there is a correspondence between </w:t>
      </w:r>
      <w:r w:rsidR="008621D7" w:rsidRPr="00DD6FAC">
        <w:rPr>
          <w:rFonts w:ascii="Times New Roman" w:hAnsi="Times New Roman"/>
          <w:sz w:val="24"/>
          <w:szCs w:val="24"/>
        </w:rPr>
        <w:t xml:space="preserve">investor behavior </w:t>
      </w:r>
      <w:r w:rsidRPr="00DD6FAC">
        <w:rPr>
          <w:rFonts w:ascii="Times New Roman" w:hAnsi="Times New Roman"/>
          <w:sz w:val="24"/>
          <w:szCs w:val="24"/>
        </w:rPr>
        <w:t xml:space="preserve">and segments that will benefit bankers when segmenting their client groups.  The ANOVA results </w:t>
      </w:r>
      <w:r w:rsidR="00826E7A" w:rsidRPr="00DD6FAC">
        <w:rPr>
          <w:rFonts w:ascii="Times New Roman" w:hAnsi="Times New Roman"/>
          <w:sz w:val="24"/>
          <w:szCs w:val="24"/>
        </w:rPr>
        <w:t>lend additional evidence to the ability of the segments to discriminate between behaviors of the clients.</w:t>
      </w:r>
    </w:p>
    <w:p w:rsidR="00C72559" w:rsidRDefault="00C72559">
      <w:pPr>
        <w:spacing w:after="0"/>
        <w:rPr>
          <w:rFonts w:ascii="Times New Roman" w:eastAsia="Times New Roman" w:hAnsi="Times New Roman"/>
          <w:b/>
          <w:bCs/>
          <w:kern w:val="36"/>
          <w:sz w:val="24"/>
          <w:szCs w:val="24"/>
        </w:rPr>
      </w:pPr>
      <w:r>
        <w:rPr>
          <w:rFonts w:ascii="Times New Roman" w:hAnsi="Times New Roman"/>
        </w:rPr>
        <w:br w:type="page"/>
      </w:r>
    </w:p>
    <w:p w:rsidR="00F47290" w:rsidRPr="006B5E0E" w:rsidRDefault="00F47290" w:rsidP="006B5E0E">
      <w:pPr>
        <w:pStyle w:val="Heading1"/>
        <w:shd w:val="clear" w:color="auto" w:fill="FFFFFF"/>
        <w:spacing w:line="480" w:lineRule="auto"/>
        <w:jc w:val="left"/>
        <w:rPr>
          <w:rFonts w:ascii="Times New Roman" w:hAnsi="Times New Roman"/>
        </w:rPr>
      </w:pPr>
      <w:r w:rsidRPr="006B5E0E">
        <w:rPr>
          <w:rFonts w:ascii="Times New Roman" w:hAnsi="Times New Roman"/>
        </w:rPr>
        <w:lastRenderedPageBreak/>
        <w:t>References</w:t>
      </w:r>
    </w:p>
    <w:p w:rsidR="0004284D" w:rsidRPr="0004284D" w:rsidRDefault="0004284D" w:rsidP="0004284D">
      <w:pPr>
        <w:pStyle w:val="Heading1"/>
        <w:shd w:val="clear" w:color="auto" w:fill="FFFFFF"/>
        <w:spacing w:line="360" w:lineRule="auto"/>
        <w:jc w:val="left"/>
        <w:rPr>
          <w:rFonts w:ascii="Times New Roman" w:eastAsiaTheme="minorEastAsia" w:hAnsi="Times New Roman"/>
          <w:b w:val="0"/>
          <w:bCs w:val="0"/>
          <w:lang w:eastAsia="en-US"/>
        </w:rPr>
      </w:pPr>
      <w:r w:rsidRPr="0004284D">
        <w:rPr>
          <w:rFonts w:ascii="Times New Roman" w:hAnsi="Times New Roman"/>
          <w:b w:val="0"/>
        </w:rPr>
        <w:t xml:space="preserve">Anderson, Thomas W., Jr., Eli P. Cox III and David G. Fulcher, </w:t>
      </w:r>
      <w:r w:rsidRPr="0004284D">
        <w:rPr>
          <w:rFonts w:ascii="Times New Roman" w:hAnsi="Times New Roman"/>
          <w:b w:val="0"/>
          <w:bCs w:val="0"/>
        </w:rPr>
        <w:t xml:space="preserve">Bank Selection Decisions and Market Segmentation </w:t>
      </w:r>
      <w:r w:rsidRPr="0004284D">
        <w:rPr>
          <w:rStyle w:val="HTMLCite"/>
          <w:rFonts w:ascii="Times New Roman" w:eastAsiaTheme="majorEastAsia" w:hAnsi="Times New Roman"/>
          <w:b w:val="0"/>
        </w:rPr>
        <w:t xml:space="preserve">Journal of </w:t>
      </w:r>
      <w:r w:rsidRPr="0004284D">
        <w:rPr>
          <w:rStyle w:val="HTMLCite"/>
          <w:rFonts w:ascii="Times New Roman" w:eastAsiaTheme="majorEastAsia" w:hAnsi="Times New Roman"/>
          <w:b w:val="0"/>
          <w:i w:val="0"/>
        </w:rPr>
        <w:t xml:space="preserve">Marketing, </w:t>
      </w:r>
      <w:r w:rsidRPr="0004284D">
        <w:rPr>
          <w:rFonts w:ascii="Times New Roman" w:hAnsi="Times New Roman"/>
          <w:b w:val="0"/>
          <w:i/>
        </w:rPr>
        <w:t>Vol</w:t>
      </w:r>
      <w:r w:rsidRPr="0004284D">
        <w:rPr>
          <w:rFonts w:ascii="Times New Roman" w:hAnsi="Times New Roman"/>
          <w:b w:val="0"/>
        </w:rPr>
        <w:t>. 40, No. 1 (Jan., 1976), pp. 40-45</w:t>
      </w:r>
    </w:p>
    <w:p w:rsidR="0004284D" w:rsidRPr="0004284D" w:rsidRDefault="00D04E15" w:rsidP="0004284D">
      <w:pPr>
        <w:widowControl w:val="0"/>
        <w:autoSpaceDE w:val="0"/>
        <w:autoSpaceDN w:val="0"/>
        <w:adjustRightInd w:val="0"/>
        <w:spacing w:after="0" w:line="360" w:lineRule="auto"/>
        <w:rPr>
          <w:rFonts w:ascii="Times New Roman" w:eastAsia="Times New Roman" w:hAnsi="Times New Roman"/>
          <w:sz w:val="24"/>
          <w:szCs w:val="24"/>
        </w:rPr>
      </w:pPr>
      <w:hyperlink r:id="rId8" w:history="1">
        <w:r w:rsidR="0004284D" w:rsidRPr="0004284D">
          <w:rPr>
            <w:rFonts w:ascii="Times New Roman" w:eastAsia="Times New Roman" w:hAnsi="Times New Roman"/>
            <w:sz w:val="24"/>
            <w:szCs w:val="24"/>
          </w:rPr>
          <w:t>Andrew</w:t>
        </w:r>
      </w:hyperlink>
      <w:r w:rsidR="0004284D" w:rsidRPr="0004284D">
        <w:rPr>
          <w:rFonts w:ascii="Times New Roman" w:eastAsia="Times New Roman" w:hAnsi="Times New Roman"/>
          <w:sz w:val="24"/>
          <w:szCs w:val="24"/>
        </w:rPr>
        <w:t xml:space="preserve">, Kenneth, 1985, </w:t>
      </w:r>
      <w:r w:rsidR="0004284D" w:rsidRPr="0004284D">
        <w:rPr>
          <w:rFonts w:ascii="Times New Roman" w:eastAsia="Times New Roman" w:hAnsi="Times New Roman"/>
          <w:i/>
          <w:sz w:val="24"/>
          <w:szCs w:val="24"/>
        </w:rPr>
        <w:t>Banks and Retailing</w:t>
      </w:r>
      <w:r w:rsidR="0004284D" w:rsidRPr="0004284D">
        <w:rPr>
          <w:rFonts w:ascii="Times New Roman" w:eastAsia="Times New Roman" w:hAnsi="Times New Roman"/>
          <w:sz w:val="24"/>
          <w:szCs w:val="24"/>
        </w:rPr>
        <w:t xml:space="preserve">, International Journal of Bank Marketing, Vol. 3 </w:t>
      </w:r>
      <w:proofErr w:type="spellStart"/>
      <w:r w:rsidR="0004284D" w:rsidRPr="0004284D">
        <w:rPr>
          <w:rFonts w:ascii="Times New Roman" w:eastAsia="Times New Roman" w:hAnsi="Times New Roman"/>
          <w:sz w:val="24"/>
          <w:szCs w:val="24"/>
        </w:rPr>
        <w:t>Iss</w:t>
      </w:r>
      <w:proofErr w:type="spellEnd"/>
      <w:r w:rsidR="0004284D" w:rsidRPr="0004284D">
        <w:rPr>
          <w:rFonts w:ascii="Times New Roman" w:eastAsia="Times New Roman" w:hAnsi="Times New Roman"/>
          <w:sz w:val="24"/>
          <w:szCs w:val="24"/>
        </w:rPr>
        <w:t>: 4, pp.25 – 35</w:t>
      </w:r>
    </w:p>
    <w:p w:rsidR="00F47290" w:rsidRPr="0004284D" w:rsidRDefault="00F47290" w:rsidP="0004284D">
      <w:pPr>
        <w:spacing w:line="360" w:lineRule="auto"/>
        <w:rPr>
          <w:rStyle w:val="authors"/>
          <w:rFonts w:ascii="Times New Roman" w:hAnsi="Times New Roman"/>
          <w:sz w:val="24"/>
          <w:szCs w:val="24"/>
        </w:rPr>
      </w:pPr>
      <w:r w:rsidRPr="0004284D">
        <w:rPr>
          <w:rStyle w:val="authors"/>
          <w:rFonts w:ascii="Times New Roman" w:hAnsi="Times New Roman"/>
          <w:sz w:val="24"/>
          <w:szCs w:val="24"/>
        </w:rPr>
        <w:t xml:space="preserve">Altunbas, Y., L Evans, L. and P. Molyneux. 2001, </w:t>
      </w:r>
      <w:r w:rsidRPr="0004284D">
        <w:rPr>
          <w:rStyle w:val="authors"/>
          <w:rFonts w:ascii="Times New Roman" w:hAnsi="Times New Roman"/>
          <w:i/>
          <w:sz w:val="24"/>
          <w:szCs w:val="24"/>
        </w:rPr>
        <w:t>Bank Ownership and Efficiency</w:t>
      </w:r>
      <w:r w:rsidRPr="0004284D">
        <w:rPr>
          <w:rStyle w:val="authors"/>
          <w:rFonts w:ascii="Times New Roman" w:hAnsi="Times New Roman"/>
          <w:sz w:val="24"/>
          <w:szCs w:val="24"/>
        </w:rPr>
        <w:t>, Journal of Money, Credit and Banking, 33(4).</w:t>
      </w:r>
    </w:p>
    <w:p w:rsidR="00F47290" w:rsidRPr="0004284D" w:rsidRDefault="00F47290" w:rsidP="0004284D">
      <w:pPr>
        <w:spacing w:line="360" w:lineRule="auto"/>
        <w:rPr>
          <w:rStyle w:val="authors"/>
          <w:rFonts w:ascii="Times New Roman" w:hAnsi="Times New Roman"/>
          <w:sz w:val="24"/>
          <w:szCs w:val="24"/>
        </w:rPr>
      </w:pPr>
      <w:r w:rsidRPr="0004284D">
        <w:rPr>
          <w:rStyle w:val="authors"/>
          <w:rFonts w:ascii="Times New Roman" w:hAnsi="Times New Roman"/>
          <w:sz w:val="24"/>
          <w:szCs w:val="24"/>
        </w:rPr>
        <w:t xml:space="preserve">Berger, A.N. 1995, </w:t>
      </w:r>
      <w:r w:rsidRPr="0004284D">
        <w:rPr>
          <w:rStyle w:val="authors"/>
          <w:rFonts w:ascii="Times New Roman" w:hAnsi="Times New Roman"/>
          <w:i/>
          <w:sz w:val="24"/>
          <w:szCs w:val="24"/>
        </w:rPr>
        <w:t>The Relationship between Capital and Earnings</w:t>
      </w:r>
      <w:r w:rsidRPr="0004284D">
        <w:rPr>
          <w:rStyle w:val="authors"/>
          <w:rFonts w:ascii="Times New Roman" w:hAnsi="Times New Roman"/>
          <w:sz w:val="24"/>
          <w:szCs w:val="24"/>
        </w:rPr>
        <w:t>, Journal of Money, Credit and Banking, 27(6).</w:t>
      </w:r>
    </w:p>
    <w:p w:rsidR="0004284D" w:rsidRPr="0004284D" w:rsidRDefault="00F47290" w:rsidP="0004284D">
      <w:pPr>
        <w:spacing w:line="360" w:lineRule="auto"/>
        <w:rPr>
          <w:rStyle w:val="authors"/>
          <w:rFonts w:ascii="Times New Roman" w:hAnsi="Times New Roman"/>
          <w:sz w:val="24"/>
          <w:szCs w:val="24"/>
        </w:rPr>
      </w:pPr>
      <w:r w:rsidRPr="0004284D">
        <w:rPr>
          <w:rStyle w:val="authors"/>
          <w:rFonts w:ascii="Times New Roman" w:hAnsi="Times New Roman"/>
          <w:sz w:val="24"/>
          <w:szCs w:val="24"/>
        </w:rPr>
        <w:t xml:space="preserve">Berger, A.N. and R. De Young, 1997, </w:t>
      </w:r>
      <w:r w:rsidRPr="0004284D">
        <w:rPr>
          <w:rStyle w:val="authors"/>
          <w:rFonts w:ascii="Times New Roman" w:hAnsi="Times New Roman"/>
          <w:i/>
          <w:sz w:val="24"/>
          <w:szCs w:val="24"/>
        </w:rPr>
        <w:t>Problem Loans and Cost Efficiency in Commercial Banks</w:t>
      </w:r>
      <w:r w:rsidRPr="0004284D">
        <w:rPr>
          <w:rStyle w:val="authors"/>
          <w:rFonts w:ascii="Times New Roman" w:hAnsi="Times New Roman"/>
          <w:sz w:val="24"/>
          <w:szCs w:val="24"/>
        </w:rPr>
        <w:t>, Journal of Mo</w:t>
      </w:r>
      <w:r w:rsidR="0004284D" w:rsidRPr="0004284D">
        <w:rPr>
          <w:rStyle w:val="authors"/>
          <w:rFonts w:ascii="Times New Roman" w:hAnsi="Times New Roman"/>
          <w:sz w:val="24"/>
          <w:szCs w:val="24"/>
        </w:rPr>
        <w:t>ney, Credit and Banking, 29(6).</w:t>
      </w:r>
    </w:p>
    <w:p w:rsidR="001C4976" w:rsidRPr="0004284D" w:rsidRDefault="001C4976" w:rsidP="0004284D">
      <w:pPr>
        <w:spacing w:line="360" w:lineRule="auto"/>
        <w:rPr>
          <w:rFonts w:ascii="Times New Roman" w:hAnsi="Times New Roman"/>
          <w:sz w:val="24"/>
          <w:szCs w:val="24"/>
        </w:rPr>
      </w:pPr>
      <w:proofErr w:type="gramStart"/>
      <w:r w:rsidRPr="0004284D">
        <w:rPr>
          <w:rFonts w:ascii="Times New Roman" w:eastAsiaTheme="minorEastAsia" w:hAnsi="Times New Roman"/>
          <w:sz w:val="24"/>
          <w:szCs w:val="24"/>
          <w:lang w:eastAsia="en-US"/>
        </w:rPr>
        <w:t xml:space="preserve">Blackrock, 2014, </w:t>
      </w:r>
      <w:r w:rsidRPr="0004284D">
        <w:rPr>
          <w:rFonts w:ascii="Times New Roman" w:eastAsiaTheme="minorEastAsia" w:hAnsi="Times New Roman"/>
          <w:i/>
          <w:sz w:val="24"/>
          <w:szCs w:val="24"/>
          <w:lang w:eastAsia="en-US"/>
        </w:rPr>
        <w:t>GUIDE TO SEGMENTATION AND BUILDING A SEGMENTED SERVICE MODEL</w:t>
      </w:r>
      <w:r w:rsidRPr="0004284D">
        <w:rPr>
          <w:rFonts w:ascii="Times New Roman" w:eastAsiaTheme="minorEastAsia" w:hAnsi="Times New Roman"/>
          <w:sz w:val="24"/>
          <w:szCs w:val="24"/>
          <w:lang w:eastAsia="en-US"/>
        </w:rPr>
        <w:t>.</w:t>
      </w:r>
      <w:proofErr w:type="gramEnd"/>
    </w:p>
    <w:p w:rsidR="00F47290" w:rsidRPr="0004284D" w:rsidRDefault="00F47290" w:rsidP="0004284D">
      <w:pPr>
        <w:spacing w:line="360" w:lineRule="auto"/>
        <w:rPr>
          <w:rStyle w:val="authors"/>
          <w:rFonts w:ascii="Times New Roman" w:hAnsi="Times New Roman"/>
          <w:sz w:val="24"/>
          <w:szCs w:val="24"/>
        </w:rPr>
      </w:pPr>
      <w:r w:rsidRPr="0004284D">
        <w:rPr>
          <w:rStyle w:val="authors"/>
          <w:rFonts w:ascii="Times New Roman" w:hAnsi="Times New Roman"/>
          <w:sz w:val="24"/>
          <w:szCs w:val="24"/>
        </w:rPr>
        <w:t xml:space="preserve">Burgstaller, J., and T.D. Cocca, , 2011, </w:t>
      </w:r>
      <w:r w:rsidRPr="0004284D">
        <w:rPr>
          <w:rStyle w:val="authors"/>
          <w:rFonts w:ascii="Times New Roman" w:hAnsi="Times New Roman"/>
          <w:i/>
          <w:sz w:val="24"/>
          <w:szCs w:val="24"/>
        </w:rPr>
        <w:t>Efficiency in private banking: evidence from Switzerland and Liechtenstein</w:t>
      </w:r>
      <w:r w:rsidRPr="0004284D">
        <w:rPr>
          <w:rStyle w:val="authors"/>
          <w:rFonts w:ascii="Times New Roman" w:hAnsi="Times New Roman"/>
          <w:sz w:val="24"/>
          <w:szCs w:val="24"/>
        </w:rPr>
        <w:t xml:space="preserve">, Financial Markets and Portfolio Management, </w:t>
      </w:r>
      <w:r w:rsidRPr="0004284D">
        <w:rPr>
          <w:rStyle w:val="Strong"/>
          <w:rFonts w:ascii="Times New Roman" w:hAnsi="Times New Roman"/>
          <w:b w:val="0"/>
          <w:sz w:val="24"/>
          <w:szCs w:val="24"/>
        </w:rPr>
        <w:t>25</w:t>
      </w:r>
      <w:r w:rsidRPr="0004284D">
        <w:rPr>
          <w:rStyle w:val="authors"/>
          <w:rFonts w:ascii="Times New Roman" w:hAnsi="Times New Roman"/>
          <w:sz w:val="24"/>
          <w:szCs w:val="24"/>
        </w:rPr>
        <w:t>, 75–93.</w:t>
      </w:r>
    </w:p>
    <w:p w:rsidR="00F47290" w:rsidRPr="0004284D" w:rsidRDefault="00F47290" w:rsidP="0004284D">
      <w:pPr>
        <w:spacing w:line="360" w:lineRule="auto"/>
        <w:rPr>
          <w:rFonts w:ascii="Times New Roman" w:hAnsi="Times New Roman"/>
          <w:sz w:val="24"/>
          <w:szCs w:val="24"/>
        </w:rPr>
      </w:pPr>
      <w:r w:rsidRPr="0004284D">
        <w:rPr>
          <w:rFonts w:ascii="Times New Roman" w:hAnsi="Times New Roman"/>
          <w:sz w:val="24"/>
          <w:szCs w:val="24"/>
        </w:rPr>
        <w:t xml:space="preserve">Capgemini, </w:t>
      </w:r>
      <w:r w:rsidRPr="0004284D">
        <w:rPr>
          <w:rFonts w:ascii="Times New Roman" w:hAnsi="Times New Roman"/>
          <w:i/>
          <w:sz w:val="24"/>
          <w:szCs w:val="24"/>
        </w:rPr>
        <w:t>World Wealth Report</w:t>
      </w:r>
      <w:r w:rsidRPr="0004284D">
        <w:rPr>
          <w:rFonts w:ascii="Times New Roman" w:hAnsi="Times New Roman"/>
          <w:sz w:val="24"/>
          <w:szCs w:val="24"/>
        </w:rPr>
        <w:t xml:space="preserve"> Various years. </w:t>
      </w:r>
    </w:p>
    <w:p w:rsidR="00F47290" w:rsidRPr="0004284D" w:rsidRDefault="00F47290" w:rsidP="0004284D">
      <w:pPr>
        <w:spacing w:line="360" w:lineRule="auto"/>
        <w:rPr>
          <w:rFonts w:ascii="Times New Roman" w:hAnsi="Times New Roman"/>
          <w:sz w:val="24"/>
          <w:szCs w:val="24"/>
        </w:rPr>
      </w:pPr>
      <w:r w:rsidRPr="0004284D">
        <w:rPr>
          <w:rFonts w:ascii="Times New Roman" w:hAnsi="Times New Roman"/>
          <w:sz w:val="24"/>
          <w:szCs w:val="24"/>
        </w:rPr>
        <w:t xml:space="preserve">Chen, H., 2008, </w:t>
      </w:r>
      <w:r w:rsidRPr="0004284D">
        <w:rPr>
          <w:rFonts w:ascii="Times New Roman" w:hAnsi="Times New Roman"/>
          <w:i/>
          <w:sz w:val="24"/>
          <w:szCs w:val="24"/>
        </w:rPr>
        <w:t>Private Banking Industry Booming</w:t>
      </w:r>
      <w:r w:rsidRPr="0004284D">
        <w:rPr>
          <w:rFonts w:ascii="Times New Roman" w:hAnsi="Times New Roman"/>
          <w:sz w:val="24"/>
          <w:szCs w:val="24"/>
        </w:rPr>
        <w:t>, Business Times, Singapore 17 March 2008</w:t>
      </w:r>
    </w:p>
    <w:p w:rsidR="001C4976" w:rsidRPr="0004284D" w:rsidRDefault="001C4976" w:rsidP="0004284D">
      <w:pPr>
        <w:pStyle w:val="Heading1"/>
        <w:shd w:val="clear" w:color="auto" w:fill="FFFFFF"/>
        <w:spacing w:line="360" w:lineRule="auto"/>
        <w:jc w:val="left"/>
        <w:rPr>
          <w:rFonts w:ascii="Times New Roman" w:hAnsi="Times New Roman"/>
          <w:b w:val="0"/>
        </w:rPr>
      </w:pPr>
      <w:r w:rsidRPr="0004284D">
        <w:rPr>
          <w:rFonts w:ascii="Times New Roman" w:hAnsi="Times New Roman"/>
          <w:b w:val="0"/>
        </w:rPr>
        <w:t xml:space="preserve">Chung, Ronald K., Alice M. Chung, and Robert W. Armstrong, 2014, </w:t>
      </w:r>
      <w:r w:rsidRPr="0004284D">
        <w:rPr>
          <w:rFonts w:ascii="Times New Roman" w:hAnsi="Times New Roman"/>
          <w:b w:val="0"/>
          <w:i/>
        </w:rPr>
        <w:t>Towards a Framework for Private Banking Services:  Evidence from Chinese Bankers</w:t>
      </w:r>
      <w:r w:rsidRPr="0004284D">
        <w:rPr>
          <w:rFonts w:ascii="Times New Roman" w:hAnsi="Times New Roman"/>
          <w:b w:val="0"/>
        </w:rPr>
        <w:t xml:space="preserve">, </w:t>
      </w:r>
      <w:r w:rsidRPr="0004284D">
        <w:rPr>
          <w:rFonts w:ascii="Times New Roman" w:hAnsi="Times New Roman"/>
          <w:b w:val="0"/>
          <w:lang w:eastAsia="zh-CN"/>
        </w:rPr>
        <w:t xml:space="preserve">International Review of Accounting, Banking and Finance, Volume 6, Number </w:t>
      </w:r>
      <w:r w:rsidRPr="0004284D">
        <w:rPr>
          <w:rFonts w:ascii="Times New Roman" w:hAnsi="Times New Roman"/>
          <w:b w:val="0"/>
        </w:rPr>
        <w:t>2</w:t>
      </w:r>
    </w:p>
    <w:p w:rsidR="00F47290" w:rsidRPr="0004284D" w:rsidRDefault="00F47290" w:rsidP="0004284D">
      <w:pPr>
        <w:pStyle w:val="Heading1"/>
        <w:shd w:val="clear" w:color="auto" w:fill="FFFFFF"/>
        <w:spacing w:line="360" w:lineRule="auto"/>
        <w:jc w:val="left"/>
        <w:rPr>
          <w:rFonts w:ascii="Times New Roman" w:hAnsi="Times New Roman"/>
          <w:b w:val="0"/>
        </w:rPr>
      </w:pPr>
      <w:r w:rsidRPr="0004284D">
        <w:rPr>
          <w:rFonts w:ascii="Times New Roman" w:hAnsi="Times New Roman"/>
          <w:b w:val="0"/>
        </w:rPr>
        <w:t xml:space="preserve">Datamonitor, 2002, </w:t>
      </w:r>
      <w:r w:rsidRPr="0004284D">
        <w:rPr>
          <w:rFonts w:ascii="Times New Roman" w:hAnsi="Times New Roman"/>
          <w:b w:val="0"/>
          <w:i/>
        </w:rPr>
        <w:t>Customer acquisition in wealth management survey</w:t>
      </w:r>
      <w:r w:rsidRPr="0004284D">
        <w:rPr>
          <w:rFonts w:ascii="Times New Roman" w:hAnsi="Times New Roman"/>
          <w:b w:val="0"/>
        </w:rPr>
        <w:t xml:space="preserve">, September, 2002. </w:t>
      </w:r>
    </w:p>
    <w:p w:rsidR="0004284D" w:rsidRPr="0004284D" w:rsidRDefault="0004284D" w:rsidP="0004284D">
      <w:pPr>
        <w:shd w:val="clear" w:color="auto" w:fill="FFFFFF"/>
        <w:spacing w:after="240" w:line="360" w:lineRule="auto"/>
        <w:rPr>
          <w:rFonts w:ascii="Times New Roman" w:hAnsi="Times New Roman"/>
          <w:sz w:val="24"/>
          <w:szCs w:val="24"/>
        </w:rPr>
      </w:pPr>
      <w:proofErr w:type="spellStart"/>
      <w:r w:rsidRPr="0004284D">
        <w:rPr>
          <w:rFonts w:ascii="Times New Roman" w:hAnsi="Times New Roman"/>
          <w:sz w:val="24"/>
          <w:szCs w:val="24"/>
        </w:rPr>
        <w:lastRenderedPageBreak/>
        <w:t>Dreux</w:t>
      </w:r>
      <w:proofErr w:type="spellEnd"/>
      <w:r w:rsidRPr="0004284D">
        <w:rPr>
          <w:rFonts w:ascii="Times New Roman" w:hAnsi="Times New Roman"/>
          <w:sz w:val="24"/>
          <w:szCs w:val="24"/>
        </w:rPr>
        <w:t>, Dirk R. IV,</w:t>
      </w:r>
      <w:r w:rsidRPr="0004284D">
        <w:rPr>
          <w:rStyle w:val="apple-converted-space"/>
          <w:rFonts w:ascii="Times New Roman" w:hAnsi="Times New Roman"/>
          <w:sz w:val="24"/>
          <w:szCs w:val="24"/>
        </w:rPr>
        <w:t> </w:t>
      </w:r>
      <w:r w:rsidRPr="0004284D">
        <w:rPr>
          <w:rFonts w:ascii="Times New Roman" w:hAnsi="Times New Roman"/>
          <w:sz w:val="24"/>
          <w:szCs w:val="24"/>
        </w:rPr>
        <w:t xml:space="preserve">Bonnie M. Brown, 1994, </w:t>
      </w:r>
      <w:r w:rsidRPr="0004284D">
        <w:rPr>
          <w:rFonts w:ascii="Times New Roman" w:hAnsi="Times New Roman"/>
          <w:i/>
          <w:sz w:val="24"/>
          <w:szCs w:val="24"/>
        </w:rPr>
        <w:t>Marketing Private Banking Services to Family Businesses</w:t>
      </w:r>
      <w:r w:rsidRPr="0004284D">
        <w:rPr>
          <w:rFonts w:ascii="Times New Roman" w:hAnsi="Times New Roman"/>
          <w:sz w:val="24"/>
          <w:szCs w:val="24"/>
        </w:rPr>
        <w:t xml:space="preserve">, International Journal of Bank Marketing, Vol. 12 </w:t>
      </w:r>
      <w:proofErr w:type="spellStart"/>
      <w:r w:rsidRPr="0004284D">
        <w:rPr>
          <w:rFonts w:ascii="Times New Roman" w:hAnsi="Times New Roman"/>
          <w:sz w:val="24"/>
          <w:szCs w:val="24"/>
        </w:rPr>
        <w:t>Iss</w:t>
      </w:r>
      <w:proofErr w:type="spellEnd"/>
      <w:r w:rsidRPr="0004284D">
        <w:rPr>
          <w:rFonts w:ascii="Times New Roman" w:hAnsi="Times New Roman"/>
          <w:sz w:val="24"/>
          <w:szCs w:val="24"/>
        </w:rPr>
        <w:t>: 3, pp.26 - 35</w:t>
      </w:r>
    </w:p>
    <w:p w:rsidR="00F47290" w:rsidRPr="0004284D" w:rsidRDefault="00F47290" w:rsidP="0004284D">
      <w:pPr>
        <w:pStyle w:val="Heading1"/>
        <w:shd w:val="clear" w:color="auto" w:fill="FFFFFF"/>
        <w:spacing w:line="360" w:lineRule="auto"/>
        <w:jc w:val="left"/>
        <w:rPr>
          <w:rFonts w:ascii="Times New Roman" w:hAnsi="Times New Roman"/>
          <w:b w:val="0"/>
        </w:rPr>
      </w:pPr>
      <w:r w:rsidRPr="0004284D">
        <w:rPr>
          <w:rFonts w:ascii="Times New Roman" w:hAnsi="Times New Roman"/>
          <w:b w:val="0"/>
        </w:rPr>
        <w:t xml:space="preserve">Dufey, G., 2009, </w:t>
      </w:r>
      <w:r w:rsidRPr="0004284D">
        <w:rPr>
          <w:rFonts w:ascii="Times New Roman" w:hAnsi="Times New Roman"/>
          <w:b w:val="0"/>
          <w:i/>
        </w:rPr>
        <w:t>Private Banking in Asia - A Survey</w:t>
      </w:r>
      <w:r w:rsidRPr="0004284D">
        <w:rPr>
          <w:rFonts w:ascii="Times New Roman" w:hAnsi="Times New Roman"/>
          <w:b w:val="0"/>
        </w:rPr>
        <w:t>, Nanyang Technological University (NTU) - Centre for Research in Financial Services (CREFS)</w:t>
      </w:r>
    </w:p>
    <w:p w:rsidR="00F47290" w:rsidRPr="0004284D" w:rsidRDefault="00F47290" w:rsidP="0004284D">
      <w:pPr>
        <w:spacing w:line="360" w:lineRule="auto"/>
        <w:rPr>
          <w:rFonts w:ascii="Times New Roman" w:hAnsi="Times New Roman"/>
          <w:sz w:val="24"/>
          <w:szCs w:val="24"/>
        </w:rPr>
      </w:pPr>
      <w:r w:rsidRPr="0004284D">
        <w:rPr>
          <w:rFonts w:ascii="Times New Roman" w:hAnsi="Times New Roman"/>
          <w:sz w:val="24"/>
          <w:szCs w:val="24"/>
        </w:rPr>
        <w:t>Federal Reserve, 1997,</w:t>
      </w:r>
      <w:r w:rsidRPr="0004284D">
        <w:rPr>
          <w:rFonts w:ascii="Times New Roman" w:hAnsi="Times New Roman"/>
          <w:i/>
          <w:sz w:val="24"/>
          <w:szCs w:val="24"/>
        </w:rPr>
        <w:t xml:space="preserve"> Supervisory Letter</w:t>
      </w:r>
      <w:r w:rsidRPr="0004284D">
        <w:rPr>
          <w:rFonts w:ascii="Times New Roman" w:hAnsi="Times New Roman"/>
          <w:sz w:val="24"/>
          <w:szCs w:val="24"/>
        </w:rPr>
        <w:t xml:space="preserve"> (SR97-19,) Jun 30, 1997. </w:t>
      </w:r>
    </w:p>
    <w:p w:rsidR="00F47290" w:rsidRPr="0004284D" w:rsidRDefault="00F47290" w:rsidP="00AC42EA">
      <w:pPr>
        <w:spacing w:line="360" w:lineRule="auto"/>
        <w:rPr>
          <w:rFonts w:ascii="Times New Roman" w:hAnsi="Times New Roman"/>
          <w:sz w:val="24"/>
          <w:szCs w:val="24"/>
        </w:rPr>
      </w:pPr>
      <w:r w:rsidRPr="0004284D">
        <w:rPr>
          <w:rFonts w:ascii="Times New Roman" w:hAnsi="Times New Roman"/>
          <w:iCs/>
          <w:sz w:val="24"/>
          <w:szCs w:val="24"/>
        </w:rPr>
        <w:t>Forbes</w:t>
      </w:r>
      <w:r w:rsidRPr="0004284D">
        <w:rPr>
          <w:rFonts w:ascii="Times New Roman" w:hAnsi="Times New Roman"/>
          <w:i/>
          <w:iCs/>
          <w:sz w:val="24"/>
          <w:szCs w:val="24"/>
        </w:rPr>
        <w:t xml:space="preserve">, The World’s </w:t>
      </w:r>
      <w:proofErr w:type="gramStart"/>
      <w:r w:rsidRPr="0004284D">
        <w:rPr>
          <w:rFonts w:ascii="Times New Roman" w:hAnsi="Times New Roman"/>
          <w:i/>
          <w:iCs/>
          <w:sz w:val="24"/>
          <w:szCs w:val="24"/>
        </w:rPr>
        <w:t xml:space="preserve">Billionaires </w:t>
      </w:r>
      <w:r w:rsidRPr="0004284D">
        <w:rPr>
          <w:rFonts w:ascii="Times New Roman" w:hAnsi="Times New Roman"/>
          <w:sz w:val="24"/>
          <w:szCs w:val="24"/>
        </w:rPr>
        <w:t xml:space="preserve"> March</w:t>
      </w:r>
      <w:proofErr w:type="gramEnd"/>
      <w:r w:rsidRPr="0004284D">
        <w:rPr>
          <w:rFonts w:ascii="Times New Roman" w:hAnsi="Times New Roman"/>
          <w:sz w:val="24"/>
          <w:szCs w:val="24"/>
        </w:rPr>
        <w:t xml:space="preserve"> 10, 2011</w:t>
      </w:r>
    </w:p>
    <w:p w:rsidR="00AC42EA" w:rsidRDefault="003D47EA" w:rsidP="00AC42EA">
      <w:pPr>
        <w:spacing w:after="0" w:line="480" w:lineRule="auto"/>
        <w:rPr>
          <w:rFonts w:ascii="Times New Roman" w:eastAsia="Times New Roman" w:hAnsi="Times New Roman"/>
          <w:sz w:val="24"/>
          <w:szCs w:val="24"/>
          <w:lang w:eastAsia="en-US"/>
        </w:rPr>
      </w:pPr>
      <w:r w:rsidRPr="003D47EA">
        <w:rPr>
          <w:rFonts w:ascii="Times New Roman" w:eastAsia="Times New Roman" w:hAnsi="Times New Roman"/>
          <w:sz w:val="24"/>
          <w:szCs w:val="24"/>
          <w:lang w:eastAsia="en-US"/>
        </w:rPr>
        <w:t>Garcia</w:t>
      </w:r>
      <w:r w:rsidR="00AC42EA" w:rsidRPr="00AC42EA">
        <w:rPr>
          <w:rFonts w:ascii="Times New Roman" w:eastAsia="Times New Roman" w:hAnsi="Times New Roman"/>
          <w:sz w:val="24"/>
          <w:szCs w:val="24"/>
          <w:lang w:eastAsia="en-US"/>
        </w:rPr>
        <w:t xml:space="preserve">, </w:t>
      </w:r>
      <w:r w:rsidR="00AC42EA" w:rsidRPr="003D47EA">
        <w:rPr>
          <w:rFonts w:ascii="Times New Roman" w:eastAsia="Times New Roman" w:hAnsi="Times New Roman"/>
          <w:sz w:val="24"/>
          <w:szCs w:val="24"/>
          <w:lang w:eastAsia="en-US"/>
        </w:rPr>
        <w:t>Gillian G.</w:t>
      </w:r>
      <w:r w:rsidR="00AC42EA">
        <w:rPr>
          <w:rFonts w:ascii="Times New Roman" w:eastAsia="Times New Roman" w:hAnsi="Times New Roman"/>
          <w:sz w:val="24"/>
          <w:szCs w:val="24"/>
          <w:lang w:eastAsia="en-US"/>
        </w:rPr>
        <w:t>,</w:t>
      </w:r>
      <w:r w:rsidR="00AC42EA" w:rsidRPr="003D47EA">
        <w:rPr>
          <w:rFonts w:ascii="Times New Roman" w:eastAsia="Times New Roman" w:hAnsi="Times New Roman"/>
          <w:sz w:val="24"/>
          <w:szCs w:val="24"/>
          <w:lang w:eastAsia="en-US"/>
        </w:rPr>
        <w:t xml:space="preserve"> </w:t>
      </w:r>
      <w:r w:rsidR="00AC42EA" w:rsidRPr="00AC42EA">
        <w:rPr>
          <w:rFonts w:ascii="Times New Roman" w:eastAsia="Times New Roman" w:hAnsi="Times New Roman"/>
          <w:sz w:val="24"/>
          <w:szCs w:val="24"/>
          <w:lang w:eastAsia="en-US"/>
        </w:rPr>
        <w:t xml:space="preserve">1997, </w:t>
      </w:r>
      <w:r w:rsidR="00AC42EA" w:rsidRPr="003D47EA">
        <w:rPr>
          <w:rFonts w:ascii="Times New Roman" w:eastAsia="Times New Roman" w:hAnsi="Times New Roman"/>
          <w:bCs/>
          <w:i/>
          <w:sz w:val="24"/>
          <w:szCs w:val="24"/>
          <w:lang w:eastAsia="en-US"/>
        </w:rPr>
        <w:t>Protecting Bank Deposits</w:t>
      </w:r>
      <w:r w:rsidR="00AC42EA" w:rsidRPr="00AC42EA">
        <w:rPr>
          <w:rFonts w:ascii="Times New Roman" w:eastAsia="Times New Roman" w:hAnsi="Times New Roman"/>
          <w:bCs/>
          <w:sz w:val="24"/>
          <w:szCs w:val="24"/>
          <w:lang w:eastAsia="en-US"/>
        </w:rPr>
        <w:t>,</w:t>
      </w:r>
      <w:r w:rsidR="00AC42EA">
        <w:rPr>
          <w:rFonts w:ascii="Times New Roman" w:eastAsia="Times New Roman" w:hAnsi="Times New Roman"/>
          <w:sz w:val="24"/>
          <w:szCs w:val="24"/>
          <w:lang w:eastAsia="en-US"/>
        </w:rPr>
        <w:t xml:space="preserve"> </w:t>
      </w:r>
      <w:r w:rsidR="00AC42EA" w:rsidRPr="00AC42EA">
        <w:rPr>
          <w:rFonts w:ascii="Times New Roman" w:eastAsia="Times New Roman" w:hAnsi="Times New Roman"/>
          <w:sz w:val="24"/>
          <w:szCs w:val="24"/>
          <w:lang w:eastAsia="en-US"/>
        </w:rPr>
        <w:t xml:space="preserve">International Monetary Fund, </w:t>
      </w:r>
      <w:r w:rsidRPr="00AC42EA">
        <w:rPr>
          <w:rFonts w:ascii="Times New Roman" w:eastAsia="Times New Roman" w:hAnsi="Times New Roman"/>
          <w:sz w:val="24"/>
          <w:szCs w:val="24"/>
          <w:lang w:eastAsia="en-US"/>
        </w:rPr>
        <w:t>August 1997</w:t>
      </w:r>
    </w:p>
    <w:p w:rsidR="00AC42EA" w:rsidRDefault="00F47290" w:rsidP="00AC42EA">
      <w:pPr>
        <w:spacing w:after="0" w:line="480" w:lineRule="auto"/>
        <w:rPr>
          <w:rFonts w:ascii="Times New Roman" w:hAnsi="Times New Roman"/>
          <w:sz w:val="24"/>
          <w:szCs w:val="24"/>
        </w:rPr>
      </w:pPr>
      <w:proofErr w:type="spellStart"/>
      <w:r w:rsidRPr="0004284D">
        <w:rPr>
          <w:rFonts w:ascii="Times New Roman" w:hAnsi="Times New Roman"/>
          <w:sz w:val="24"/>
          <w:szCs w:val="24"/>
          <w:lang w:eastAsia="en-US"/>
        </w:rPr>
        <w:t>Gopalakrishnan</w:t>
      </w:r>
      <w:proofErr w:type="spellEnd"/>
      <w:r w:rsidRPr="0004284D">
        <w:rPr>
          <w:rFonts w:ascii="Times New Roman" w:hAnsi="Times New Roman"/>
          <w:sz w:val="24"/>
          <w:szCs w:val="24"/>
          <w:lang w:eastAsia="en-US"/>
        </w:rPr>
        <w:t xml:space="preserve">, R., </w:t>
      </w:r>
      <w:r w:rsidRPr="0004284D">
        <w:rPr>
          <w:rFonts w:ascii="Times New Roman" w:hAnsi="Times New Roman"/>
          <w:i/>
          <w:sz w:val="24"/>
          <w:szCs w:val="24"/>
          <w:lang w:eastAsia="en-US"/>
        </w:rPr>
        <w:t>Special Report: Singapore Swing: Playing for Wealth Crown</w:t>
      </w:r>
      <w:r w:rsidRPr="0004284D">
        <w:rPr>
          <w:rFonts w:ascii="Times New Roman" w:hAnsi="Times New Roman"/>
          <w:sz w:val="24"/>
          <w:szCs w:val="24"/>
          <w:lang w:eastAsia="en-US"/>
        </w:rPr>
        <w:t>. Reuters, 30 Sept. 2010. Web. 09 May 2011</w:t>
      </w:r>
    </w:p>
    <w:p w:rsidR="00F47290" w:rsidRPr="0004284D" w:rsidRDefault="00F47290" w:rsidP="00AC42EA">
      <w:pPr>
        <w:spacing w:after="0" w:line="480" w:lineRule="auto"/>
        <w:rPr>
          <w:rFonts w:ascii="Times New Roman" w:hAnsi="Times New Roman"/>
          <w:sz w:val="24"/>
          <w:szCs w:val="24"/>
        </w:rPr>
      </w:pPr>
      <w:r w:rsidRPr="0004284D">
        <w:rPr>
          <w:rFonts w:ascii="Times New Roman" w:hAnsi="Times New Roman"/>
          <w:sz w:val="24"/>
          <w:szCs w:val="24"/>
        </w:rPr>
        <w:t xml:space="preserve">Hans, T., 2008, </w:t>
      </w:r>
      <w:proofErr w:type="gramStart"/>
      <w:r w:rsidRPr="0004284D">
        <w:rPr>
          <w:rFonts w:ascii="Times New Roman" w:hAnsi="Times New Roman"/>
          <w:i/>
          <w:sz w:val="24"/>
          <w:szCs w:val="24"/>
        </w:rPr>
        <w:t>The</w:t>
      </w:r>
      <w:proofErr w:type="gramEnd"/>
      <w:r w:rsidRPr="0004284D">
        <w:rPr>
          <w:rFonts w:ascii="Times New Roman" w:hAnsi="Times New Roman"/>
          <w:i/>
          <w:sz w:val="24"/>
          <w:szCs w:val="24"/>
        </w:rPr>
        <w:t xml:space="preserve"> Regulation of Wealth Management</w:t>
      </w:r>
      <w:r w:rsidRPr="0004284D">
        <w:rPr>
          <w:rFonts w:ascii="Times New Roman" w:hAnsi="Times New Roman"/>
          <w:sz w:val="24"/>
          <w:szCs w:val="24"/>
        </w:rPr>
        <w:t>, the Center for Commercial Law Studies, National University of Singapore.</w:t>
      </w:r>
    </w:p>
    <w:p w:rsidR="00F47290" w:rsidRPr="0004284D" w:rsidRDefault="00F47290" w:rsidP="00AC42EA">
      <w:pPr>
        <w:spacing w:line="360" w:lineRule="auto"/>
        <w:rPr>
          <w:rStyle w:val="authors"/>
          <w:rFonts w:ascii="Times New Roman" w:hAnsi="Times New Roman"/>
          <w:sz w:val="24"/>
          <w:szCs w:val="24"/>
        </w:rPr>
      </w:pPr>
      <w:r w:rsidRPr="0004284D">
        <w:rPr>
          <w:rStyle w:val="authors"/>
          <w:rFonts w:ascii="Times New Roman" w:hAnsi="Times New Roman"/>
          <w:sz w:val="24"/>
          <w:szCs w:val="24"/>
        </w:rPr>
        <w:t xml:space="preserve">Hens, T., and K. Bachmann, 2008, </w:t>
      </w:r>
      <w:r w:rsidRPr="0004284D">
        <w:rPr>
          <w:rStyle w:val="authors"/>
          <w:rFonts w:ascii="Times New Roman" w:hAnsi="Times New Roman"/>
          <w:i/>
          <w:sz w:val="24"/>
          <w:szCs w:val="24"/>
        </w:rPr>
        <w:t>Behavioral Finance for Private Banking</w:t>
      </w:r>
      <w:r w:rsidRPr="0004284D">
        <w:rPr>
          <w:rStyle w:val="authors"/>
          <w:rFonts w:ascii="Times New Roman" w:hAnsi="Times New Roman"/>
          <w:sz w:val="24"/>
          <w:szCs w:val="24"/>
        </w:rPr>
        <w:t>. Wiley, New York.</w:t>
      </w:r>
    </w:p>
    <w:p w:rsidR="00F47290" w:rsidRPr="0004284D" w:rsidRDefault="00F47290" w:rsidP="00AC42EA">
      <w:pPr>
        <w:spacing w:line="360" w:lineRule="auto"/>
        <w:rPr>
          <w:rFonts w:ascii="Times New Roman" w:hAnsi="Times New Roman"/>
          <w:sz w:val="24"/>
          <w:szCs w:val="24"/>
        </w:rPr>
      </w:pPr>
      <w:proofErr w:type="spellStart"/>
      <w:r w:rsidRPr="0004284D">
        <w:rPr>
          <w:rFonts w:ascii="Times New Roman" w:hAnsi="Times New Roman"/>
          <w:sz w:val="24"/>
          <w:szCs w:val="24"/>
          <w:lang w:eastAsia="en-US"/>
        </w:rPr>
        <w:t>Kahneman</w:t>
      </w:r>
      <w:proofErr w:type="spellEnd"/>
      <w:r w:rsidRPr="0004284D">
        <w:rPr>
          <w:rFonts w:ascii="Times New Roman" w:hAnsi="Times New Roman"/>
          <w:sz w:val="24"/>
          <w:szCs w:val="24"/>
          <w:lang w:eastAsia="en-US"/>
        </w:rPr>
        <w:t xml:space="preserve">, D. and M. </w:t>
      </w:r>
      <w:proofErr w:type="spellStart"/>
      <w:r w:rsidRPr="0004284D">
        <w:rPr>
          <w:rFonts w:ascii="Times New Roman" w:hAnsi="Times New Roman"/>
          <w:sz w:val="24"/>
          <w:szCs w:val="24"/>
          <w:lang w:eastAsia="en-US"/>
        </w:rPr>
        <w:t>Riepe</w:t>
      </w:r>
      <w:proofErr w:type="spellEnd"/>
      <w:r w:rsidRPr="0004284D">
        <w:rPr>
          <w:rFonts w:ascii="Times New Roman" w:hAnsi="Times New Roman"/>
          <w:sz w:val="24"/>
          <w:szCs w:val="24"/>
          <w:lang w:eastAsia="en-US"/>
        </w:rPr>
        <w:t xml:space="preserve">, 1998. </w:t>
      </w:r>
      <w:r w:rsidRPr="0004284D">
        <w:rPr>
          <w:rFonts w:ascii="Times New Roman" w:hAnsi="Times New Roman"/>
          <w:i/>
          <w:sz w:val="24"/>
          <w:szCs w:val="24"/>
          <w:lang w:eastAsia="en-US"/>
        </w:rPr>
        <w:t>Aspects of Investor Psychology</w:t>
      </w:r>
      <w:r w:rsidRPr="0004284D">
        <w:rPr>
          <w:rFonts w:ascii="Times New Roman" w:hAnsi="Times New Roman"/>
          <w:sz w:val="24"/>
          <w:szCs w:val="24"/>
          <w:lang w:eastAsia="en-US"/>
        </w:rPr>
        <w:t xml:space="preserve">, </w:t>
      </w:r>
      <w:r w:rsidRPr="0004284D">
        <w:rPr>
          <w:rFonts w:ascii="Times New Roman" w:hAnsi="Times New Roman"/>
          <w:iCs/>
          <w:sz w:val="24"/>
          <w:szCs w:val="24"/>
          <w:lang w:eastAsia="en-US"/>
        </w:rPr>
        <w:t>Journal of Portfolio Management</w:t>
      </w:r>
      <w:r w:rsidRPr="0004284D">
        <w:rPr>
          <w:rFonts w:ascii="Times New Roman" w:hAnsi="Times New Roman"/>
          <w:sz w:val="24"/>
          <w:szCs w:val="24"/>
          <w:lang w:eastAsia="en-US"/>
        </w:rPr>
        <w:t>, (Summer): 52-64.</w:t>
      </w:r>
    </w:p>
    <w:p w:rsidR="0004284D" w:rsidRPr="0004284D" w:rsidRDefault="00D04E15" w:rsidP="003D47EA">
      <w:pPr>
        <w:widowControl w:val="0"/>
        <w:autoSpaceDE w:val="0"/>
        <w:autoSpaceDN w:val="0"/>
        <w:adjustRightInd w:val="0"/>
        <w:spacing w:after="0" w:line="480" w:lineRule="auto"/>
        <w:rPr>
          <w:rFonts w:ascii="Times New Roman" w:eastAsia="Times New Roman" w:hAnsi="Times New Roman"/>
          <w:sz w:val="24"/>
          <w:szCs w:val="24"/>
        </w:rPr>
      </w:pPr>
      <w:hyperlink r:id="rId9" w:history="1">
        <w:proofErr w:type="spellStart"/>
        <w:r w:rsidR="0004284D" w:rsidRPr="0004284D">
          <w:rPr>
            <w:rFonts w:ascii="Times New Roman" w:eastAsia="Times New Roman" w:hAnsi="Times New Roman"/>
            <w:sz w:val="24"/>
            <w:szCs w:val="24"/>
          </w:rPr>
          <w:t>Kaynak</w:t>
        </w:r>
        <w:proofErr w:type="spellEnd"/>
      </w:hyperlink>
      <w:r w:rsidR="0004284D" w:rsidRPr="0004284D">
        <w:rPr>
          <w:rFonts w:ascii="Times New Roman" w:eastAsia="Times New Roman" w:hAnsi="Times New Roman"/>
          <w:sz w:val="24"/>
          <w:szCs w:val="24"/>
        </w:rPr>
        <w:t xml:space="preserve">, </w:t>
      </w:r>
      <w:proofErr w:type="spellStart"/>
      <w:r w:rsidR="0004284D" w:rsidRPr="0004284D">
        <w:rPr>
          <w:rFonts w:ascii="Times New Roman" w:eastAsia="Times New Roman" w:hAnsi="Times New Roman"/>
          <w:sz w:val="24"/>
          <w:szCs w:val="24"/>
        </w:rPr>
        <w:t>Erdener</w:t>
      </w:r>
      <w:proofErr w:type="spellEnd"/>
      <w:r w:rsidR="0004284D" w:rsidRPr="0004284D">
        <w:rPr>
          <w:rFonts w:ascii="Times New Roman" w:eastAsia="Times New Roman" w:hAnsi="Times New Roman"/>
          <w:sz w:val="24"/>
          <w:szCs w:val="24"/>
        </w:rPr>
        <w:t xml:space="preserve"> (1986) "</w:t>
      </w:r>
      <w:proofErr w:type="spellStart"/>
      <w:r w:rsidR="0004284D" w:rsidRPr="0004284D">
        <w:rPr>
          <w:rFonts w:ascii="Times New Roman" w:eastAsia="Times New Roman" w:hAnsi="Times New Roman"/>
          <w:sz w:val="24"/>
          <w:szCs w:val="24"/>
        </w:rPr>
        <w:t>Globalisation</w:t>
      </w:r>
      <w:proofErr w:type="spellEnd"/>
      <w:r w:rsidR="0004284D" w:rsidRPr="0004284D">
        <w:rPr>
          <w:rFonts w:ascii="Times New Roman" w:eastAsia="Times New Roman" w:hAnsi="Times New Roman"/>
          <w:sz w:val="24"/>
          <w:szCs w:val="24"/>
        </w:rPr>
        <w:t xml:space="preserve"> of Banks: An Integrative Statement", International Journal of Bank Marketing, Vol. 4 </w:t>
      </w:r>
      <w:proofErr w:type="spellStart"/>
      <w:r w:rsidR="0004284D" w:rsidRPr="0004284D">
        <w:rPr>
          <w:rFonts w:ascii="Times New Roman" w:eastAsia="Times New Roman" w:hAnsi="Times New Roman"/>
          <w:sz w:val="24"/>
          <w:szCs w:val="24"/>
        </w:rPr>
        <w:t>Iss</w:t>
      </w:r>
      <w:proofErr w:type="spellEnd"/>
      <w:r w:rsidR="0004284D" w:rsidRPr="0004284D">
        <w:rPr>
          <w:rFonts w:ascii="Times New Roman" w:eastAsia="Times New Roman" w:hAnsi="Times New Roman"/>
          <w:sz w:val="24"/>
          <w:szCs w:val="24"/>
        </w:rPr>
        <w:t>: 3, pp.3 – 8</w:t>
      </w:r>
    </w:p>
    <w:p w:rsidR="003D47EA" w:rsidRPr="0004284D" w:rsidRDefault="003D47EA" w:rsidP="003D47EA">
      <w:pPr>
        <w:spacing w:line="480" w:lineRule="auto"/>
        <w:rPr>
          <w:rFonts w:ascii="Times New Roman" w:hAnsi="Times New Roman"/>
          <w:sz w:val="24"/>
          <w:szCs w:val="24"/>
        </w:rPr>
      </w:pPr>
      <w:proofErr w:type="spellStart"/>
      <w:r w:rsidRPr="0004284D">
        <w:rPr>
          <w:rFonts w:ascii="Times New Roman" w:hAnsi="Times New Roman"/>
          <w:iCs/>
          <w:sz w:val="24"/>
          <w:szCs w:val="24"/>
        </w:rPr>
        <w:t>Klausner</w:t>
      </w:r>
      <w:proofErr w:type="spellEnd"/>
      <w:r w:rsidRPr="0004284D">
        <w:rPr>
          <w:rFonts w:ascii="Times New Roman" w:hAnsi="Times New Roman"/>
          <w:iCs/>
          <w:sz w:val="24"/>
          <w:szCs w:val="24"/>
        </w:rPr>
        <w:t>, A., 2013</w:t>
      </w:r>
      <w:r w:rsidRPr="0004284D">
        <w:rPr>
          <w:rFonts w:ascii="Times New Roman" w:hAnsi="Times New Roman"/>
          <w:i/>
          <w:iCs/>
          <w:sz w:val="24"/>
          <w:szCs w:val="24"/>
        </w:rPr>
        <w:t>, Characteristics of High Net Worth Clients</w:t>
      </w:r>
      <w:r w:rsidRPr="0004284D">
        <w:rPr>
          <w:rFonts w:ascii="Times New Roman" w:hAnsi="Times New Roman"/>
          <w:iCs/>
          <w:sz w:val="24"/>
          <w:szCs w:val="24"/>
        </w:rPr>
        <w:t>, Forbes May 9,</w:t>
      </w:r>
    </w:p>
    <w:p w:rsidR="00F47290" w:rsidRPr="0004284D" w:rsidRDefault="00F47290" w:rsidP="003D47EA">
      <w:pPr>
        <w:spacing w:line="480" w:lineRule="auto"/>
        <w:rPr>
          <w:rFonts w:ascii="Times New Roman" w:hAnsi="Times New Roman"/>
          <w:sz w:val="24"/>
          <w:szCs w:val="24"/>
        </w:rPr>
      </w:pPr>
      <w:r w:rsidRPr="0004284D">
        <w:rPr>
          <w:rFonts w:ascii="Times New Roman" w:hAnsi="Times New Roman"/>
          <w:sz w:val="24"/>
          <w:szCs w:val="24"/>
        </w:rPr>
        <w:t xml:space="preserve">Knight Frank, </w:t>
      </w:r>
      <w:r w:rsidRPr="0004284D">
        <w:rPr>
          <w:rFonts w:ascii="Times New Roman" w:hAnsi="Times New Roman"/>
          <w:i/>
          <w:sz w:val="24"/>
          <w:szCs w:val="24"/>
        </w:rPr>
        <w:t>Annual Wealth Report</w:t>
      </w:r>
      <w:r w:rsidRPr="0004284D">
        <w:rPr>
          <w:rFonts w:ascii="Times New Roman" w:hAnsi="Times New Roman"/>
          <w:sz w:val="24"/>
          <w:szCs w:val="24"/>
        </w:rPr>
        <w:t xml:space="preserve"> Various years.</w:t>
      </w:r>
    </w:p>
    <w:p w:rsidR="00F47290" w:rsidRPr="0004284D" w:rsidRDefault="00F47290" w:rsidP="0004284D">
      <w:pPr>
        <w:spacing w:line="360" w:lineRule="auto"/>
        <w:rPr>
          <w:rFonts w:ascii="Times New Roman" w:hAnsi="Times New Roman"/>
          <w:sz w:val="24"/>
          <w:szCs w:val="24"/>
        </w:rPr>
      </w:pPr>
      <w:r w:rsidRPr="0004284D">
        <w:rPr>
          <w:rFonts w:ascii="Times New Roman" w:hAnsi="Times New Roman"/>
          <w:sz w:val="24"/>
          <w:szCs w:val="24"/>
          <w:lang w:eastAsia="en-US"/>
        </w:rPr>
        <w:t xml:space="preserve">Howe, J. S. and K.S. Haggard, 2012, </w:t>
      </w:r>
      <w:r w:rsidRPr="0004284D">
        <w:rPr>
          <w:rFonts w:ascii="Times New Roman" w:hAnsi="Times New Roman"/>
          <w:i/>
          <w:sz w:val="24"/>
          <w:szCs w:val="24"/>
          <w:lang w:eastAsia="en-US"/>
        </w:rPr>
        <w:t>Are Banks Opaque</w:t>
      </w:r>
      <w:r w:rsidRPr="0004284D">
        <w:rPr>
          <w:rFonts w:ascii="Times New Roman" w:hAnsi="Times New Roman"/>
          <w:sz w:val="24"/>
          <w:szCs w:val="24"/>
          <w:lang w:eastAsia="en-US"/>
        </w:rPr>
        <w:t xml:space="preserve">, </w:t>
      </w:r>
      <w:r w:rsidRPr="0004284D">
        <w:rPr>
          <w:rFonts w:ascii="Times New Roman" w:hAnsi="Times New Roman"/>
          <w:sz w:val="24"/>
          <w:szCs w:val="24"/>
        </w:rPr>
        <w:t xml:space="preserve">International Review of Accounting, Banking and Finance, </w:t>
      </w:r>
      <w:proofErr w:type="gramStart"/>
      <w:r w:rsidRPr="0004284D">
        <w:rPr>
          <w:rFonts w:ascii="Times New Roman" w:hAnsi="Times New Roman"/>
          <w:sz w:val="24"/>
          <w:szCs w:val="24"/>
        </w:rPr>
        <w:t>V.4(</w:t>
      </w:r>
      <w:proofErr w:type="gramEnd"/>
      <w:r w:rsidRPr="0004284D">
        <w:rPr>
          <w:rFonts w:ascii="Times New Roman" w:hAnsi="Times New Roman"/>
          <w:sz w:val="24"/>
          <w:szCs w:val="24"/>
        </w:rPr>
        <w:t>1).</w:t>
      </w:r>
    </w:p>
    <w:p w:rsidR="001C4976" w:rsidRPr="0004284D" w:rsidRDefault="001C4976" w:rsidP="0004284D">
      <w:pPr>
        <w:widowControl w:val="0"/>
        <w:autoSpaceDE w:val="0"/>
        <w:autoSpaceDN w:val="0"/>
        <w:adjustRightInd w:val="0"/>
        <w:spacing w:after="0" w:line="360" w:lineRule="auto"/>
        <w:rPr>
          <w:rFonts w:ascii="Times New Roman" w:hAnsi="Times New Roman"/>
          <w:sz w:val="24"/>
          <w:szCs w:val="24"/>
          <w:shd w:val="clear" w:color="auto" w:fill="FFFFFF"/>
        </w:rPr>
      </w:pPr>
      <w:proofErr w:type="spellStart"/>
      <w:r w:rsidRPr="0004284D">
        <w:rPr>
          <w:rFonts w:ascii="Times New Roman" w:hAnsi="Times New Roman"/>
          <w:sz w:val="24"/>
          <w:szCs w:val="24"/>
          <w:shd w:val="clear" w:color="auto" w:fill="FFFFFF"/>
        </w:rPr>
        <w:t>Keltner</w:t>
      </w:r>
      <w:proofErr w:type="spellEnd"/>
      <w:r w:rsidRPr="0004284D">
        <w:rPr>
          <w:rFonts w:ascii="Times New Roman" w:hAnsi="Times New Roman"/>
          <w:sz w:val="24"/>
          <w:szCs w:val="24"/>
          <w:shd w:val="clear" w:color="auto" w:fill="FFFFFF"/>
        </w:rPr>
        <w:t xml:space="preserve">, B., &amp; </w:t>
      </w:r>
      <w:proofErr w:type="spellStart"/>
      <w:r w:rsidRPr="0004284D">
        <w:rPr>
          <w:rFonts w:ascii="Times New Roman" w:hAnsi="Times New Roman"/>
          <w:sz w:val="24"/>
          <w:szCs w:val="24"/>
          <w:shd w:val="clear" w:color="auto" w:fill="FFFFFF"/>
        </w:rPr>
        <w:t>Finegold</w:t>
      </w:r>
      <w:proofErr w:type="spellEnd"/>
      <w:r w:rsidRPr="0004284D">
        <w:rPr>
          <w:rFonts w:ascii="Times New Roman" w:hAnsi="Times New Roman"/>
          <w:sz w:val="24"/>
          <w:szCs w:val="24"/>
          <w:shd w:val="clear" w:color="auto" w:fill="FFFFFF"/>
        </w:rPr>
        <w:t xml:space="preserve">, D. (1998). Market challenges and changing employment </w:t>
      </w:r>
      <w:r w:rsidRPr="0004284D">
        <w:rPr>
          <w:rFonts w:ascii="Times New Roman" w:hAnsi="Times New Roman"/>
          <w:sz w:val="24"/>
          <w:szCs w:val="24"/>
          <w:shd w:val="clear" w:color="auto" w:fill="FFFFFF"/>
        </w:rPr>
        <w:lastRenderedPageBreak/>
        <w:t xml:space="preserve">relations in the US banking industry. In M. </w:t>
      </w:r>
      <w:proofErr w:type="spellStart"/>
      <w:r w:rsidRPr="0004284D">
        <w:rPr>
          <w:rFonts w:ascii="Times New Roman" w:hAnsi="Times New Roman"/>
          <w:sz w:val="24"/>
          <w:szCs w:val="24"/>
          <w:shd w:val="clear" w:color="auto" w:fill="FFFFFF"/>
        </w:rPr>
        <w:t>Regini</w:t>
      </w:r>
      <w:proofErr w:type="spellEnd"/>
      <w:r w:rsidRPr="0004284D">
        <w:rPr>
          <w:rFonts w:ascii="Times New Roman" w:hAnsi="Times New Roman"/>
          <w:sz w:val="24"/>
          <w:szCs w:val="24"/>
          <w:shd w:val="clear" w:color="auto" w:fill="FFFFFF"/>
        </w:rPr>
        <w:t xml:space="preserve">, M. </w:t>
      </w:r>
      <w:proofErr w:type="spellStart"/>
      <w:r w:rsidRPr="0004284D">
        <w:rPr>
          <w:rFonts w:ascii="Times New Roman" w:hAnsi="Times New Roman"/>
          <w:sz w:val="24"/>
          <w:szCs w:val="24"/>
          <w:shd w:val="clear" w:color="auto" w:fill="FFFFFF"/>
        </w:rPr>
        <w:t>Baethge</w:t>
      </w:r>
      <w:proofErr w:type="spellEnd"/>
      <w:r w:rsidRPr="0004284D">
        <w:rPr>
          <w:rFonts w:ascii="Times New Roman" w:hAnsi="Times New Roman"/>
          <w:sz w:val="24"/>
          <w:szCs w:val="24"/>
          <w:shd w:val="clear" w:color="auto" w:fill="FFFFFF"/>
        </w:rPr>
        <w:t xml:space="preserve">, &amp; J. </w:t>
      </w:r>
      <w:proofErr w:type="spellStart"/>
      <w:r w:rsidRPr="0004284D">
        <w:rPr>
          <w:rFonts w:ascii="Times New Roman" w:hAnsi="Times New Roman"/>
          <w:sz w:val="24"/>
          <w:szCs w:val="24"/>
          <w:shd w:val="clear" w:color="auto" w:fill="FFFFFF"/>
        </w:rPr>
        <w:t>Kitay</w:t>
      </w:r>
      <w:proofErr w:type="spellEnd"/>
      <w:r w:rsidRPr="0004284D">
        <w:rPr>
          <w:rFonts w:ascii="Times New Roman" w:hAnsi="Times New Roman"/>
          <w:sz w:val="24"/>
          <w:szCs w:val="24"/>
          <w:shd w:val="clear" w:color="auto" w:fill="FFFFFF"/>
        </w:rPr>
        <w:t xml:space="preserve"> (Eds.),</w:t>
      </w:r>
      <w:r w:rsidRPr="0004284D">
        <w:rPr>
          <w:rStyle w:val="apple-converted-space"/>
          <w:rFonts w:ascii="Times New Roman" w:hAnsi="Times New Roman"/>
          <w:sz w:val="24"/>
          <w:szCs w:val="24"/>
          <w:shd w:val="clear" w:color="auto" w:fill="FFFFFF"/>
        </w:rPr>
        <w:t> </w:t>
      </w:r>
      <w:r w:rsidRPr="0004284D">
        <w:rPr>
          <w:rStyle w:val="Emphasis"/>
          <w:rFonts w:ascii="Times New Roman" w:hAnsi="Times New Roman"/>
          <w:sz w:val="24"/>
          <w:szCs w:val="24"/>
          <w:shd w:val="clear" w:color="auto" w:fill="FFFFFF"/>
        </w:rPr>
        <w:t>Changing employment relations in the banking industry</w:t>
      </w:r>
      <w:r w:rsidRPr="0004284D">
        <w:rPr>
          <w:rFonts w:ascii="Times New Roman" w:hAnsi="Times New Roman"/>
          <w:sz w:val="24"/>
          <w:szCs w:val="24"/>
          <w:shd w:val="clear" w:color="auto" w:fill="FFFFFF"/>
        </w:rPr>
        <w:t>. Cambridge, MA: MIT Press.</w:t>
      </w:r>
    </w:p>
    <w:p w:rsidR="00F47290" w:rsidRPr="0004284D" w:rsidRDefault="00F47290" w:rsidP="0004284D">
      <w:pPr>
        <w:pStyle w:val="Heading1"/>
        <w:shd w:val="clear" w:color="auto" w:fill="FFFFFF"/>
        <w:spacing w:line="360" w:lineRule="auto"/>
        <w:jc w:val="left"/>
        <w:rPr>
          <w:rFonts w:ascii="Times New Roman" w:hAnsi="Times New Roman"/>
          <w:b w:val="0"/>
        </w:rPr>
      </w:pPr>
      <w:r w:rsidRPr="0004284D">
        <w:rPr>
          <w:rFonts w:ascii="Times New Roman" w:hAnsi="Times New Roman"/>
          <w:b w:val="0"/>
        </w:rPr>
        <w:t xml:space="preserve">Koch, T., W., S. MacDonald, V. Edwards and R. Duran, 2014, </w:t>
      </w:r>
      <w:r w:rsidRPr="0004284D">
        <w:rPr>
          <w:rFonts w:ascii="Times New Roman" w:hAnsi="Times New Roman"/>
          <w:b w:val="0"/>
          <w:i/>
        </w:rPr>
        <w:t>Bank Management: A Decision-Making Perspective</w:t>
      </w:r>
      <w:r w:rsidRPr="0004284D">
        <w:rPr>
          <w:rFonts w:ascii="Times New Roman" w:hAnsi="Times New Roman"/>
          <w:b w:val="0"/>
        </w:rPr>
        <w:t>, Cengage Learning.</w:t>
      </w:r>
    </w:p>
    <w:p w:rsidR="00F47290" w:rsidRPr="0004284D" w:rsidRDefault="00F47290" w:rsidP="0004284D">
      <w:pPr>
        <w:pStyle w:val="Heading1"/>
        <w:shd w:val="clear" w:color="auto" w:fill="FFFFFF"/>
        <w:spacing w:line="360" w:lineRule="auto"/>
        <w:jc w:val="left"/>
        <w:rPr>
          <w:rFonts w:ascii="Times New Roman" w:hAnsi="Times New Roman"/>
          <w:b w:val="0"/>
        </w:rPr>
      </w:pPr>
      <w:r w:rsidRPr="0004284D">
        <w:rPr>
          <w:rFonts w:ascii="Times New Roman" w:hAnsi="Times New Roman"/>
          <w:b w:val="0"/>
        </w:rPr>
        <w:t xml:space="preserve">Kotler, P., and K. L. Keller, </w:t>
      </w:r>
      <w:r w:rsidRPr="0004284D">
        <w:rPr>
          <w:rFonts w:ascii="Times New Roman" w:hAnsi="Times New Roman"/>
          <w:b w:val="0"/>
          <w:i/>
        </w:rPr>
        <w:t>Marketing Management</w:t>
      </w:r>
      <w:r w:rsidRPr="0004284D">
        <w:rPr>
          <w:rFonts w:ascii="Times New Roman" w:hAnsi="Times New Roman"/>
          <w:b w:val="0"/>
        </w:rPr>
        <w:t xml:space="preserve">, </w:t>
      </w:r>
      <w:r w:rsidRPr="0004284D">
        <w:rPr>
          <w:rStyle w:val="a-size-large"/>
          <w:rFonts w:ascii="Times New Roman" w:hAnsi="Times New Roman"/>
          <w:b w:val="0"/>
        </w:rPr>
        <w:t>(14</w:t>
      </w:r>
      <w:r w:rsidRPr="0004284D">
        <w:rPr>
          <w:rStyle w:val="a-size-large"/>
          <w:rFonts w:ascii="Times New Roman" w:hAnsi="Times New Roman"/>
          <w:b w:val="0"/>
          <w:vertAlign w:val="superscript"/>
        </w:rPr>
        <w:t>th</w:t>
      </w:r>
      <w:r w:rsidRPr="0004284D">
        <w:rPr>
          <w:rStyle w:val="a-size-large"/>
          <w:rFonts w:ascii="Times New Roman" w:hAnsi="Times New Roman"/>
          <w:b w:val="0"/>
        </w:rPr>
        <w:t xml:space="preserve"> ed.) Pearson, Essex, England.</w:t>
      </w:r>
    </w:p>
    <w:p w:rsidR="00F47290" w:rsidRPr="0004284D" w:rsidRDefault="00F47290" w:rsidP="0004284D">
      <w:pPr>
        <w:pStyle w:val="Heading1"/>
        <w:shd w:val="clear" w:color="auto" w:fill="FFFFFF"/>
        <w:spacing w:line="360" w:lineRule="auto"/>
        <w:jc w:val="left"/>
        <w:rPr>
          <w:rFonts w:ascii="Times New Roman" w:hAnsi="Times New Roman"/>
          <w:b w:val="0"/>
        </w:rPr>
      </w:pPr>
      <w:r w:rsidRPr="0004284D">
        <w:rPr>
          <w:rFonts w:ascii="Times New Roman" w:hAnsi="Times New Roman"/>
          <w:b w:val="0"/>
          <w:lang w:eastAsia="en-US"/>
        </w:rPr>
        <w:t xml:space="preserve">Ling, L, 2011, </w:t>
      </w:r>
      <w:r w:rsidRPr="0004284D">
        <w:rPr>
          <w:rFonts w:ascii="Times New Roman" w:hAnsi="Times New Roman"/>
          <w:b w:val="0"/>
          <w:i/>
          <w:lang w:eastAsia="en-US"/>
        </w:rPr>
        <w:t>A Life Cycle Analysis of U.S. Mutual Funds</w:t>
      </w:r>
      <w:r w:rsidRPr="0004284D">
        <w:rPr>
          <w:rFonts w:ascii="Times New Roman" w:hAnsi="Times New Roman"/>
          <w:b w:val="0"/>
          <w:lang w:eastAsia="en-US"/>
        </w:rPr>
        <w:t xml:space="preserve">, </w:t>
      </w:r>
      <w:r w:rsidRPr="0004284D">
        <w:rPr>
          <w:rFonts w:ascii="Times New Roman" w:hAnsi="Times New Roman"/>
          <w:b w:val="0"/>
        </w:rPr>
        <w:t xml:space="preserve">International Review of Accounting, Banking and Finance, </w:t>
      </w:r>
      <w:proofErr w:type="gramStart"/>
      <w:r w:rsidRPr="0004284D">
        <w:rPr>
          <w:rFonts w:ascii="Times New Roman" w:hAnsi="Times New Roman"/>
          <w:b w:val="0"/>
        </w:rPr>
        <w:t>V.3(</w:t>
      </w:r>
      <w:proofErr w:type="gramEnd"/>
      <w:r w:rsidRPr="0004284D">
        <w:rPr>
          <w:rFonts w:ascii="Times New Roman" w:hAnsi="Times New Roman"/>
          <w:b w:val="0"/>
        </w:rPr>
        <w:t>4).</w:t>
      </w:r>
    </w:p>
    <w:p w:rsidR="00F47290" w:rsidRPr="0004284D" w:rsidRDefault="00F47290" w:rsidP="0004284D">
      <w:pPr>
        <w:pStyle w:val="Heading1"/>
        <w:shd w:val="clear" w:color="auto" w:fill="FFFFFF"/>
        <w:spacing w:line="360" w:lineRule="auto"/>
        <w:jc w:val="left"/>
        <w:rPr>
          <w:rFonts w:ascii="Times New Roman" w:hAnsi="Times New Roman"/>
          <w:b w:val="0"/>
        </w:rPr>
      </w:pPr>
      <w:r w:rsidRPr="0004284D">
        <w:rPr>
          <w:rFonts w:ascii="Times New Roman" w:hAnsi="Times New Roman"/>
          <w:b w:val="0"/>
        </w:rPr>
        <w:t xml:space="preserve">Lye,  J., 2011, </w:t>
      </w:r>
      <w:r w:rsidRPr="0004284D">
        <w:rPr>
          <w:rFonts w:ascii="Times New Roman" w:hAnsi="Times New Roman"/>
          <w:b w:val="0"/>
          <w:i/>
        </w:rPr>
        <w:t>The Practice of Private Wealth Management in Singapore</w:t>
      </w:r>
      <w:r w:rsidRPr="0004284D">
        <w:rPr>
          <w:rFonts w:ascii="Times New Roman" w:hAnsi="Times New Roman"/>
          <w:b w:val="0"/>
        </w:rPr>
        <w:t>, University of Pennsylvania Scholarly Commons, Wharton Research Scholars Journal.</w:t>
      </w:r>
    </w:p>
    <w:p w:rsidR="00F47290" w:rsidRPr="0004284D" w:rsidRDefault="00F47290" w:rsidP="0004284D">
      <w:pPr>
        <w:spacing w:line="360" w:lineRule="auto"/>
        <w:rPr>
          <w:rFonts w:ascii="Times New Roman" w:hAnsi="Times New Roman"/>
          <w:sz w:val="24"/>
          <w:szCs w:val="24"/>
        </w:rPr>
      </w:pPr>
      <w:r w:rsidRPr="0004284D">
        <w:rPr>
          <w:rFonts w:ascii="Times New Roman" w:hAnsi="Times New Roman"/>
          <w:sz w:val="24"/>
          <w:szCs w:val="24"/>
          <w:lang w:eastAsia="en-US"/>
        </w:rPr>
        <w:t xml:space="preserve">Long, J.A., </w:t>
      </w:r>
      <w:proofErr w:type="gramStart"/>
      <w:r w:rsidRPr="0004284D">
        <w:rPr>
          <w:rFonts w:ascii="Times New Roman" w:hAnsi="Times New Roman"/>
          <w:sz w:val="24"/>
          <w:szCs w:val="24"/>
          <w:lang w:eastAsia="en-US"/>
        </w:rPr>
        <w:t>and  D</w:t>
      </w:r>
      <w:proofErr w:type="gramEnd"/>
      <w:r w:rsidRPr="0004284D">
        <w:rPr>
          <w:rFonts w:ascii="Times New Roman" w:hAnsi="Times New Roman"/>
          <w:sz w:val="24"/>
          <w:szCs w:val="24"/>
          <w:lang w:eastAsia="en-US"/>
        </w:rPr>
        <w:t xml:space="preserve">. Tan, 2010, </w:t>
      </w:r>
      <w:r w:rsidRPr="0004284D">
        <w:rPr>
          <w:rFonts w:ascii="Times New Roman" w:hAnsi="Times New Roman"/>
          <w:i/>
          <w:iCs/>
          <w:sz w:val="24"/>
          <w:szCs w:val="24"/>
          <w:lang w:eastAsia="en-US"/>
        </w:rPr>
        <w:t xml:space="preserve">“The growth of the private wealth management industry in Singapore and Hong Kong”. </w:t>
      </w:r>
      <w:r w:rsidRPr="0004284D">
        <w:rPr>
          <w:rFonts w:ascii="Times New Roman" w:hAnsi="Times New Roman"/>
          <w:sz w:val="24"/>
          <w:szCs w:val="24"/>
          <w:lang w:eastAsia="en-US"/>
        </w:rPr>
        <w:t>Capital</w:t>
      </w:r>
      <w:r w:rsidRPr="0004284D">
        <w:rPr>
          <w:rFonts w:ascii="Times New Roman" w:hAnsi="Times New Roman"/>
          <w:sz w:val="24"/>
          <w:szCs w:val="24"/>
        </w:rPr>
        <w:t xml:space="preserve"> </w:t>
      </w:r>
      <w:r w:rsidRPr="0004284D">
        <w:rPr>
          <w:rFonts w:ascii="Times New Roman" w:hAnsi="Times New Roman"/>
          <w:sz w:val="24"/>
          <w:szCs w:val="24"/>
          <w:lang w:eastAsia="en-US"/>
        </w:rPr>
        <w:t>Markets Law Journal 6 (1): 104-126.</w:t>
      </w:r>
    </w:p>
    <w:p w:rsidR="00F47290" w:rsidRPr="0004284D" w:rsidRDefault="00F47290" w:rsidP="0004284D">
      <w:pPr>
        <w:pStyle w:val="Heading1"/>
        <w:shd w:val="clear" w:color="auto" w:fill="FFFFFF"/>
        <w:spacing w:line="360" w:lineRule="auto"/>
        <w:jc w:val="left"/>
        <w:rPr>
          <w:rFonts w:ascii="Times New Roman" w:hAnsi="Times New Roman"/>
          <w:b w:val="0"/>
        </w:rPr>
      </w:pPr>
      <w:r w:rsidRPr="0004284D">
        <w:rPr>
          <w:rFonts w:ascii="Times New Roman" w:hAnsi="Times New Roman"/>
          <w:b w:val="0"/>
        </w:rPr>
        <w:t xml:space="preserve">Maude, D. J., 2006, </w:t>
      </w:r>
      <w:r w:rsidRPr="0004284D">
        <w:rPr>
          <w:rFonts w:ascii="Times New Roman" w:hAnsi="Times New Roman"/>
          <w:b w:val="0"/>
          <w:i/>
        </w:rPr>
        <w:t>Global Private Banking and Wealth Management</w:t>
      </w:r>
      <w:r w:rsidRPr="0004284D">
        <w:rPr>
          <w:rFonts w:ascii="Times New Roman" w:hAnsi="Times New Roman"/>
          <w:b w:val="0"/>
        </w:rPr>
        <w:t xml:space="preserve">, John Wiley &amp; Sons, Hoboken, NJ. </w:t>
      </w:r>
    </w:p>
    <w:p w:rsidR="00F47290" w:rsidRPr="0004284D" w:rsidRDefault="00F47290" w:rsidP="0004284D">
      <w:pPr>
        <w:pStyle w:val="Heading1"/>
        <w:shd w:val="clear" w:color="auto" w:fill="FFFFFF"/>
        <w:spacing w:line="360" w:lineRule="auto"/>
        <w:jc w:val="left"/>
        <w:rPr>
          <w:rFonts w:ascii="Times New Roman" w:hAnsi="Times New Roman"/>
          <w:b w:val="0"/>
        </w:rPr>
      </w:pPr>
      <w:r w:rsidRPr="0004284D">
        <w:rPr>
          <w:rFonts w:ascii="Times New Roman" w:hAnsi="Times New Roman"/>
          <w:b w:val="0"/>
        </w:rPr>
        <w:t xml:space="preserve">Maude, D. J. and P. Molyneux, 1996, </w:t>
      </w:r>
      <w:r w:rsidRPr="0004284D">
        <w:rPr>
          <w:rFonts w:ascii="Times New Roman" w:hAnsi="Times New Roman"/>
          <w:b w:val="0"/>
          <w:i/>
        </w:rPr>
        <w:t>Private Banking</w:t>
      </w:r>
      <w:r w:rsidRPr="0004284D">
        <w:rPr>
          <w:rFonts w:ascii="Times New Roman" w:hAnsi="Times New Roman"/>
          <w:b w:val="0"/>
        </w:rPr>
        <w:t>, Euromoney Books.</w:t>
      </w:r>
    </w:p>
    <w:p w:rsidR="0004284D" w:rsidRPr="0004284D" w:rsidRDefault="00D04E15" w:rsidP="0004284D">
      <w:pPr>
        <w:widowControl w:val="0"/>
        <w:autoSpaceDE w:val="0"/>
        <w:autoSpaceDN w:val="0"/>
        <w:adjustRightInd w:val="0"/>
        <w:spacing w:after="0" w:line="360" w:lineRule="auto"/>
        <w:rPr>
          <w:rFonts w:ascii="Times New Roman" w:eastAsia="Times New Roman" w:hAnsi="Times New Roman"/>
          <w:sz w:val="24"/>
          <w:szCs w:val="24"/>
        </w:rPr>
      </w:pPr>
      <w:hyperlink r:id="rId10" w:history="1">
        <w:r w:rsidR="0004284D" w:rsidRPr="0004284D">
          <w:rPr>
            <w:rFonts w:ascii="Times New Roman" w:eastAsia="Times New Roman" w:hAnsi="Times New Roman"/>
            <w:sz w:val="24"/>
            <w:szCs w:val="24"/>
          </w:rPr>
          <w:t>McCullough</w:t>
        </w:r>
      </w:hyperlink>
      <w:r w:rsidR="0004284D" w:rsidRPr="0004284D">
        <w:rPr>
          <w:rFonts w:ascii="Times New Roman" w:eastAsia="Times New Roman" w:hAnsi="Times New Roman"/>
          <w:sz w:val="24"/>
          <w:szCs w:val="24"/>
        </w:rPr>
        <w:t xml:space="preserve">, James and </w:t>
      </w:r>
      <w:hyperlink r:id="rId11" w:history="1">
        <w:r w:rsidR="0004284D" w:rsidRPr="0004284D">
          <w:rPr>
            <w:rFonts w:ascii="Times New Roman" w:eastAsia="Times New Roman" w:hAnsi="Times New Roman"/>
            <w:sz w:val="24"/>
            <w:szCs w:val="24"/>
          </w:rPr>
          <w:t xml:space="preserve">Lim Ser </w:t>
        </w:r>
        <w:proofErr w:type="spellStart"/>
        <w:r w:rsidR="0004284D" w:rsidRPr="0004284D">
          <w:rPr>
            <w:rFonts w:ascii="Times New Roman" w:eastAsia="Times New Roman" w:hAnsi="Times New Roman"/>
            <w:sz w:val="24"/>
            <w:szCs w:val="24"/>
          </w:rPr>
          <w:t>Heng</w:t>
        </w:r>
        <w:proofErr w:type="spellEnd"/>
      </w:hyperlink>
      <w:r w:rsidR="0004284D" w:rsidRPr="0004284D">
        <w:rPr>
          <w:rFonts w:ascii="Times New Roman" w:eastAsia="Times New Roman" w:hAnsi="Times New Roman"/>
          <w:sz w:val="24"/>
          <w:szCs w:val="24"/>
        </w:rPr>
        <w:t>, </w:t>
      </w:r>
      <w:proofErr w:type="spellStart"/>
      <w:r>
        <w:fldChar w:fldCharType="begin"/>
      </w:r>
      <w:r w:rsidR="003B6329">
        <w:instrText>HYPERLINK "http://www.emeraldinsight.com/action/doSearch?ContribStored=See+Khem%2C+G"</w:instrText>
      </w:r>
      <w:r>
        <w:fldChar w:fldCharType="separate"/>
      </w:r>
      <w:r w:rsidR="0004284D" w:rsidRPr="0004284D">
        <w:rPr>
          <w:rFonts w:ascii="Times New Roman" w:eastAsia="Times New Roman" w:hAnsi="Times New Roman"/>
          <w:sz w:val="24"/>
          <w:szCs w:val="24"/>
        </w:rPr>
        <w:t>Gan</w:t>
      </w:r>
      <w:proofErr w:type="spellEnd"/>
      <w:r w:rsidR="0004284D" w:rsidRPr="0004284D">
        <w:rPr>
          <w:rFonts w:ascii="Times New Roman" w:eastAsia="Times New Roman" w:hAnsi="Times New Roman"/>
          <w:sz w:val="24"/>
          <w:szCs w:val="24"/>
        </w:rPr>
        <w:t xml:space="preserve"> See </w:t>
      </w:r>
      <w:proofErr w:type="spellStart"/>
      <w:r w:rsidR="0004284D" w:rsidRPr="0004284D">
        <w:rPr>
          <w:rFonts w:ascii="Times New Roman" w:eastAsia="Times New Roman" w:hAnsi="Times New Roman"/>
          <w:sz w:val="24"/>
          <w:szCs w:val="24"/>
        </w:rPr>
        <w:t>Khem</w:t>
      </w:r>
      <w:proofErr w:type="spellEnd"/>
      <w:r>
        <w:fldChar w:fldCharType="end"/>
      </w:r>
      <w:r w:rsidR="0004284D" w:rsidRPr="0004284D">
        <w:rPr>
          <w:rFonts w:ascii="Times New Roman" w:eastAsia="Times New Roman" w:hAnsi="Times New Roman"/>
          <w:sz w:val="24"/>
          <w:szCs w:val="24"/>
        </w:rPr>
        <w:t xml:space="preserve">, 1986, </w:t>
      </w:r>
      <w:r w:rsidR="0004284D" w:rsidRPr="0004284D">
        <w:rPr>
          <w:rFonts w:ascii="Times New Roman" w:eastAsia="Times New Roman" w:hAnsi="Times New Roman"/>
          <w:i/>
          <w:sz w:val="24"/>
          <w:szCs w:val="24"/>
        </w:rPr>
        <w:t>Measuring the Marketing Orientation of Retail Operations of International Banks</w:t>
      </w:r>
      <w:r w:rsidR="0004284D" w:rsidRPr="0004284D">
        <w:rPr>
          <w:rFonts w:ascii="Times New Roman" w:eastAsia="Times New Roman" w:hAnsi="Times New Roman"/>
          <w:sz w:val="24"/>
          <w:szCs w:val="24"/>
        </w:rPr>
        <w:t xml:space="preserve">, International Journal of Bank Marketing, Vol. 4 </w:t>
      </w:r>
      <w:proofErr w:type="spellStart"/>
      <w:r w:rsidR="0004284D" w:rsidRPr="0004284D">
        <w:rPr>
          <w:rFonts w:ascii="Times New Roman" w:eastAsia="Times New Roman" w:hAnsi="Times New Roman"/>
          <w:sz w:val="24"/>
          <w:szCs w:val="24"/>
        </w:rPr>
        <w:t>Iss</w:t>
      </w:r>
      <w:proofErr w:type="spellEnd"/>
      <w:r w:rsidR="0004284D" w:rsidRPr="0004284D">
        <w:rPr>
          <w:rFonts w:ascii="Times New Roman" w:eastAsia="Times New Roman" w:hAnsi="Times New Roman"/>
          <w:sz w:val="24"/>
          <w:szCs w:val="24"/>
        </w:rPr>
        <w:t>: 3, pp.9 – 18</w:t>
      </w:r>
    </w:p>
    <w:p w:rsidR="00F47290" w:rsidRPr="0004284D" w:rsidRDefault="00F47290" w:rsidP="0004284D">
      <w:pPr>
        <w:pStyle w:val="Heading1"/>
        <w:spacing w:line="360" w:lineRule="auto"/>
        <w:jc w:val="left"/>
        <w:rPr>
          <w:rFonts w:ascii="Times New Roman" w:hAnsi="Times New Roman"/>
          <w:b w:val="0"/>
        </w:rPr>
      </w:pPr>
      <w:r w:rsidRPr="0004284D">
        <w:rPr>
          <w:rFonts w:ascii="Times New Roman" w:hAnsi="Times New Roman"/>
          <w:b w:val="0"/>
        </w:rPr>
        <w:t xml:space="preserve">Mishkin, F. S., 2012, </w:t>
      </w:r>
      <w:r w:rsidRPr="0004284D">
        <w:rPr>
          <w:rStyle w:val="a-size-large"/>
          <w:rFonts w:ascii="Times New Roman" w:hAnsi="Times New Roman"/>
          <w:b w:val="0"/>
          <w:i/>
        </w:rPr>
        <w:t>The Economics of Money, Banking and Financial Markets: The Business School Edition</w:t>
      </w:r>
      <w:r w:rsidRPr="0004284D">
        <w:rPr>
          <w:rStyle w:val="a-size-large"/>
          <w:rFonts w:ascii="Times New Roman" w:hAnsi="Times New Roman"/>
          <w:b w:val="0"/>
        </w:rPr>
        <w:t xml:space="preserve"> (3</w:t>
      </w:r>
      <w:r w:rsidRPr="0004284D">
        <w:rPr>
          <w:rStyle w:val="a-size-large"/>
          <w:rFonts w:ascii="Times New Roman" w:hAnsi="Times New Roman"/>
          <w:b w:val="0"/>
          <w:vertAlign w:val="superscript"/>
        </w:rPr>
        <w:t>rd</w:t>
      </w:r>
      <w:r w:rsidRPr="0004284D">
        <w:rPr>
          <w:rStyle w:val="a-size-large"/>
          <w:rFonts w:ascii="Times New Roman" w:hAnsi="Times New Roman"/>
          <w:b w:val="0"/>
        </w:rPr>
        <w:t xml:space="preserve"> ed.) Pearson, Essex, England.</w:t>
      </w:r>
    </w:p>
    <w:p w:rsidR="00F47290" w:rsidRPr="0004284D" w:rsidRDefault="00F47290" w:rsidP="0004284D">
      <w:pPr>
        <w:pStyle w:val="NormalWeb"/>
        <w:spacing w:line="360" w:lineRule="auto"/>
        <w:rPr>
          <w:color w:val="auto"/>
          <w:lang w:val="it-IT"/>
        </w:rPr>
      </w:pPr>
      <w:proofErr w:type="spellStart"/>
      <w:r w:rsidRPr="0004284D">
        <w:rPr>
          <w:color w:val="auto"/>
        </w:rPr>
        <w:t>Molyneux</w:t>
      </w:r>
      <w:proofErr w:type="spellEnd"/>
      <w:r w:rsidRPr="0004284D">
        <w:rPr>
          <w:color w:val="auto"/>
        </w:rPr>
        <w:t xml:space="preserve">, P. and A. </w:t>
      </w:r>
      <w:proofErr w:type="spellStart"/>
      <w:r w:rsidRPr="0004284D">
        <w:rPr>
          <w:color w:val="auto"/>
        </w:rPr>
        <w:t>Omarini</w:t>
      </w:r>
      <w:proofErr w:type="spellEnd"/>
      <w:r w:rsidRPr="0004284D">
        <w:rPr>
          <w:color w:val="auto"/>
        </w:rPr>
        <w:t xml:space="preserve">, 2005, </w:t>
      </w:r>
      <w:r w:rsidRPr="0004284D">
        <w:rPr>
          <w:color w:val="auto"/>
          <w:lang w:val="it-IT"/>
        </w:rPr>
        <w:t>"</w:t>
      </w:r>
      <w:r w:rsidRPr="0004284D">
        <w:rPr>
          <w:i/>
          <w:color w:val="auto"/>
          <w:lang w:val="it-IT"/>
        </w:rPr>
        <w:t>Private Banking in Europe. Getting clients and keeping Them</w:t>
      </w:r>
      <w:r w:rsidRPr="0004284D">
        <w:rPr>
          <w:color w:val="auto"/>
          <w:lang w:val="it-IT"/>
        </w:rPr>
        <w:t>,” Annual Conference of the European Association of University Teachers of Banking and Finance, Cass Business School, City University, London, September.</w:t>
      </w:r>
    </w:p>
    <w:p w:rsidR="00F47290" w:rsidRPr="0004284D" w:rsidRDefault="00F47290" w:rsidP="0004284D">
      <w:pPr>
        <w:spacing w:line="360" w:lineRule="auto"/>
        <w:rPr>
          <w:rFonts w:ascii="Times New Roman" w:hAnsi="Times New Roman"/>
          <w:sz w:val="24"/>
          <w:szCs w:val="24"/>
        </w:rPr>
      </w:pPr>
      <w:proofErr w:type="spellStart"/>
      <w:proofErr w:type="gramStart"/>
      <w:r w:rsidRPr="0004284D">
        <w:rPr>
          <w:rFonts w:ascii="Times New Roman" w:hAnsi="Times New Roman"/>
          <w:sz w:val="24"/>
          <w:szCs w:val="24"/>
          <w:lang w:eastAsia="en-US"/>
        </w:rPr>
        <w:lastRenderedPageBreak/>
        <w:t>Montier</w:t>
      </w:r>
      <w:proofErr w:type="spellEnd"/>
      <w:r w:rsidRPr="0004284D">
        <w:rPr>
          <w:rFonts w:ascii="Times New Roman" w:hAnsi="Times New Roman"/>
          <w:sz w:val="24"/>
          <w:szCs w:val="24"/>
          <w:lang w:eastAsia="en-US"/>
        </w:rPr>
        <w:t>, J. 2002.</w:t>
      </w:r>
      <w:proofErr w:type="gramEnd"/>
      <w:r w:rsidRPr="0004284D">
        <w:rPr>
          <w:rFonts w:ascii="Times New Roman" w:hAnsi="Times New Roman"/>
          <w:sz w:val="24"/>
          <w:szCs w:val="24"/>
          <w:lang w:eastAsia="en-US"/>
        </w:rPr>
        <w:t xml:space="preserve"> </w:t>
      </w:r>
      <w:proofErr w:type="spellStart"/>
      <w:r w:rsidRPr="0004284D">
        <w:rPr>
          <w:rFonts w:ascii="Times New Roman" w:hAnsi="Times New Roman"/>
          <w:i/>
          <w:sz w:val="24"/>
          <w:szCs w:val="24"/>
          <w:lang w:eastAsia="en-US"/>
        </w:rPr>
        <w:t>Behavioural</w:t>
      </w:r>
      <w:proofErr w:type="spellEnd"/>
      <w:r w:rsidRPr="0004284D">
        <w:rPr>
          <w:rFonts w:ascii="Times New Roman" w:hAnsi="Times New Roman"/>
          <w:i/>
          <w:sz w:val="24"/>
          <w:szCs w:val="24"/>
          <w:lang w:eastAsia="en-US"/>
        </w:rPr>
        <w:t xml:space="preserve"> Finance: Insights into Irrational Minds and Markets</w:t>
      </w:r>
      <w:r w:rsidRPr="0004284D">
        <w:rPr>
          <w:rFonts w:ascii="Times New Roman" w:hAnsi="Times New Roman"/>
          <w:sz w:val="24"/>
          <w:szCs w:val="24"/>
          <w:lang w:eastAsia="en-US"/>
        </w:rPr>
        <w:t xml:space="preserve">. West Sussex, England: </w:t>
      </w:r>
      <w:r w:rsidRPr="0004284D">
        <w:rPr>
          <w:rFonts w:ascii="Times New Roman" w:hAnsi="Times New Roman"/>
          <w:iCs/>
          <w:sz w:val="24"/>
          <w:szCs w:val="24"/>
          <w:lang w:eastAsia="en-US"/>
        </w:rPr>
        <w:t>John Wiley &amp; Sons Ltd.</w:t>
      </w:r>
    </w:p>
    <w:p w:rsidR="00F47290" w:rsidRPr="0004284D" w:rsidRDefault="00F47290" w:rsidP="0004284D">
      <w:pPr>
        <w:spacing w:line="360" w:lineRule="auto"/>
        <w:rPr>
          <w:rFonts w:ascii="Times New Roman" w:hAnsi="Times New Roman"/>
          <w:sz w:val="24"/>
          <w:szCs w:val="24"/>
        </w:rPr>
      </w:pPr>
      <w:proofErr w:type="gramStart"/>
      <w:r w:rsidRPr="0004284D">
        <w:rPr>
          <w:rStyle w:val="Emphasis"/>
          <w:rFonts w:ascii="Times New Roman" w:hAnsi="Times New Roman"/>
          <w:i w:val="0"/>
          <w:sz w:val="24"/>
          <w:szCs w:val="24"/>
        </w:rPr>
        <w:t>Nomura Research Institute, Ltd., 2006,</w:t>
      </w:r>
      <w:r w:rsidRPr="0004284D">
        <w:rPr>
          <w:rStyle w:val="Emphasis"/>
          <w:rFonts w:ascii="Times New Roman" w:hAnsi="Times New Roman"/>
          <w:sz w:val="24"/>
          <w:szCs w:val="24"/>
        </w:rPr>
        <w:t xml:space="preserve"> </w:t>
      </w:r>
      <w:proofErr w:type="spellStart"/>
      <w:r w:rsidRPr="0004284D">
        <w:rPr>
          <w:rStyle w:val="Emphasis"/>
          <w:rFonts w:ascii="Times New Roman" w:hAnsi="Times New Roman"/>
          <w:sz w:val="24"/>
          <w:szCs w:val="24"/>
        </w:rPr>
        <w:t>Shinsedai</w:t>
      </w:r>
      <w:proofErr w:type="spellEnd"/>
      <w:r w:rsidRPr="0004284D">
        <w:rPr>
          <w:rStyle w:val="Emphasis"/>
          <w:rFonts w:ascii="Times New Roman" w:hAnsi="Times New Roman"/>
          <w:sz w:val="24"/>
          <w:szCs w:val="24"/>
        </w:rPr>
        <w:t xml:space="preserve"> </w:t>
      </w:r>
      <w:proofErr w:type="spellStart"/>
      <w:r w:rsidRPr="0004284D">
        <w:rPr>
          <w:rStyle w:val="Emphasis"/>
          <w:rFonts w:ascii="Times New Roman" w:hAnsi="Times New Roman"/>
          <w:sz w:val="24"/>
          <w:szCs w:val="24"/>
        </w:rPr>
        <w:t>Fuyuso</w:t>
      </w:r>
      <w:proofErr w:type="spellEnd"/>
      <w:r w:rsidRPr="0004284D">
        <w:rPr>
          <w:rStyle w:val="Emphasis"/>
          <w:rFonts w:ascii="Times New Roman" w:hAnsi="Times New Roman"/>
          <w:sz w:val="24"/>
          <w:szCs w:val="24"/>
        </w:rPr>
        <w:t xml:space="preserve"> No </w:t>
      </w:r>
      <w:proofErr w:type="spellStart"/>
      <w:r w:rsidRPr="0004284D">
        <w:rPr>
          <w:rStyle w:val="Emphasis"/>
          <w:rFonts w:ascii="Times New Roman" w:hAnsi="Times New Roman"/>
          <w:sz w:val="24"/>
          <w:szCs w:val="24"/>
        </w:rPr>
        <w:t>Kenkyu</w:t>
      </w:r>
      <w:proofErr w:type="spellEnd"/>
      <w:r w:rsidRPr="0004284D">
        <w:rPr>
          <w:rStyle w:val="Emphasis"/>
          <w:rFonts w:ascii="Times New Roman" w:hAnsi="Times New Roman"/>
          <w:sz w:val="24"/>
          <w:szCs w:val="24"/>
        </w:rPr>
        <w:t>, Tokyo.</w:t>
      </w:r>
      <w:proofErr w:type="gramEnd"/>
      <w:r w:rsidRPr="0004284D">
        <w:rPr>
          <w:rStyle w:val="Emphasis"/>
          <w:rFonts w:ascii="Times New Roman" w:hAnsi="Times New Roman"/>
          <w:sz w:val="24"/>
          <w:szCs w:val="24"/>
        </w:rPr>
        <w:t xml:space="preserve"> </w:t>
      </w:r>
    </w:p>
    <w:p w:rsidR="00F47290" w:rsidRPr="0004284D" w:rsidRDefault="00F47290" w:rsidP="0004284D">
      <w:pPr>
        <w:spacing w:line="360" w:lineRule="auto"/>
        <w:rPr>
          <w:rFonts w:ascii="Times New Roman" w:hAnsi="Times New Roman"/>
          <w:sz w:val="24"/>
          <w:szCs w:val="24"/>
        </w:rPr>
      </w:pPr>
      <w:proofErr w:type="spellStart"/>
      <w:proofErr w:type="gramStart"/>
      <w:r w:rsidRPr="0004284D">
        <w:rPr>
          <w:rFonts w:ascii="Times New Roman" w:hAnsi="Times New Roman"/>
          <w:sz w:val="24"/>
          <w:szCs w:val="24"/>
          <w:lang w:eastAsia="en-US"/>
        </w:rPr>
        <w:t>Pompian</w:t>
      </w:r>
      <w:proofErr w:type="spellEnd"/>
      <w:r w:rsidRPr="0004284D">
        <w:rPr>
          <w:rFonts w:ascii="Times New Roman" w:hAnsi="Times New Roman"/>
          <w:sz w:val="24"/>
          <w:szCs w:val="24"/>
          <w:lang w:eastAsia="en-US"/>
        </w:rPr>
        <w:t>, M. and J. Longo, 2004.</w:t>
      </w:r>
      <w:proofErr w:type="gramEnd"/>
      <w:r w:rsidRPr="0004284D">
        <w:rPr>
          <w:rFonts w:ascii="Times New Roman" w:hAnsi="Times New Roman"/>
          <w:sz w:val="24"/>
          <w:szCs w:val="24"/>
          <w:lang w:eastAsia="en-US"/>
        </w:rPr>
        <w:t xml:space="preserve"> </w:t>
      </w:r>
      <w:r w:rsidRPr="0004284D">
        <w:rPr>
          <w:rFonts w:ascii="Times New Roman" w:hAnsi="Times New Roman"/>
          <w:i/>
          <w:sz w:val="24"/>
          <w:szCs w:val="24"/>
          <w:lang w:eastAsia="en-US"/>
        </w:rPr>
        <w:t>A New Paradigm for Practical Application of</w:t>
      </w:r>
      <w:r w:rsidRPr="0004284D">
        <w:rPr>
          <w:rFonts w:ascii="Times New Roman" w:hAnsi="Times New Roman"/>
          <w:i/>
          <w:sz w:val="24"/>
          <w:szCs w:val="24"/>
        </w:rPr>
        <w:t xml:space="preserve"> </w:t>
      </w:r>
      <w:r w:rsidRPr="0004284D">
        <w:rPr>
          <w:rFonts w:ascii="Times New Roman" w:hAnsi="Times New Roman"/>
          <w:i/>
          <w:sz w:val="24"/>
          <w:szCs w:val="24"/>
          <w:lang w:eastAsia="en-US"/>
        </w:rPr>
        <w:t>Behavioral Finance: Creating Investment Programs Based on Personality Type and</w:t>
      </w:r>
      <w:r w:rsidRPr="0004284D">
        <w:rPr>
          <w:rFonts w:ascii="Times New Roman" w:hAnsi="Times New Roman"/>
          <w:i/>
          <w:sz w:val="24"/>
          <w:szCs w:val="24"/>
        </w:rPr>
        <w:t xml:space="preserve"> </w:t>
      </w:r>
      <w:r w:rsidRPr="0004284D">
        <w:rPr>
          <w:rFonts w:ascii="Times New Roman" w:hAnsi="Times New Roman"/>
          <w:i/>
          <w:sz w:val="24"/>
          <w:szCs w:val="24"/>
          <w:lang w:eastAsia="en-US"/>
        </w:rPr>
        <w:t>Gender to Produce Better Investment Outcomes</w:t>
      </w:r>
      <w:r w:rsidRPr="0004284D">
        <w:rPr>
          <w:rFonts w:ascii="Times New Roman" w:hAnsi="Times New Roman"/>
          <w:sz w:val="24"/>
          <w:szCs w:val="24"/>
          <w:lang w:eastAsia="en-US"/>
        </w:rPr>
        <w:t xml:space="preserve">”, New York: </w:t>
      </w:r>
      <w:r w:rsidRPr="0004284D">
        <w:rPr>
          <w:rFonts w:ascii="Times New Roman" w:hAnsi="Times New Roman"/>
          <w:iCs/>
          <w:sz w:val="24"/>
          <w:szCs w:val="24"/>
          <w:lang w:eastAsia="en-US"/>
        </w:rPr>
        <w:t>Institutional Investor's Journal of Wealth Management (Fall 2004) 9-15.</w:t>
      </w:r>
    </w:p>
    <w:p w:rsidR="00F47290" w:rsidRPr="0004284D" w:rsidRDefault="00F47290" w:rsidP="0004284D">
      <w:pPr>
        <w:spacing w:line="360" w:lineRule="auto"/>
        <w:rPr>
          <w:rStyle w:val="authors"/>
          <w:rFonts w:ascii="Times New Roman" w:hAnsi="Times New Roman"/>
          <w:sz w:val="24"/>
          <w:szCs w:val="24"/>
        </w:rPr>
      </w:pPr>
      <w:r w:rsidRPr="0004284D">
        <w:rPr>
          <w:rStyle w:val="authors"/>
          <w:rFonts w:ascii="Times New Roman" w:hAnsi="Times New Roman"/>
          <w:sz w:val="24"/>
          <w:szCs w:val="24"/>
        </w:rPr>
        <w:t xml:space="preserve">Pompian, M. M., 2006, </w:t>
      </w:r>
      <w:r w:rsidRPr="0004284D">
        <w:rPr>
          <w:rStyle w:val="authors"/>
          <w:rFonts w:ascii="Times New Roman" w:hAnsi="Times New Roman"/>
          <w:i/>
          <w:sz w:val="24"/>
          <w:szCs w:val="24"/>
        </w:rPr>
        <w:t xml:space="preserve">Behavioural Finance and Wealth Management—How to Build Optimal Portfolios that Account for Investor Bias , </w:t>
      </w:r>
      <w:r w:rsidRPr="0004284D">
        <w:rPr>
          <w:rStyle w:val="authors"/>
          <w:rFonts w:ascii="Times New Roman" w:hAnsi="Times New Roman"/>
          <w:sz w:val="24"/>
          <w:szCs w:val="24"/>
        </w:rPr>
        <w:t xml:space="preserve">Financial Markets and Portfolio Management, </w:t>
      </w:r>
      <w:r w:rsidRPr="0004284D">
        <w:rPr>
          <w:rStyle w:val="Strong"/>
          <w:rFonts w:ascii="Times New Roman" w:hAnsi="Times New Roman"/>
          <w:b w:val="0"/>
          <w:sz w:val="24"/>
          <w:szCs w:val="24"/>
        </w:rPr>
        <w:t>21</w:t>
      </w:r>
      <w:r w:rsidRPr="0004284D">
        <w:rPr>
          <w:rStyle w:val="authors"/>
          <w:rFonts w:ascii="Times New Roman" w:hAnsi="Times New Roman"/>
          <w:sz w:val="24"/>
          <w:szCs w:val="24"/>
        </w:rPr>
        <w:t xml:space="preserve">(4), 491–492 (2007.)  </w:t>
      </w:r>
    </w:p>
    <w:p w:rsidR="00F47290" w:rsidRPr="0004284D" w:rsidRDefault="00F47290" w:rsidP="0004284D">
      <w:pPr>
        <w:spacing w:line="360" w:lineRule="auto"/>
        <w:rPr>
          <w:rStyle w:val="authors"/>
          <w:rFonts w:ascii="Times New Roman" w:hAnsi="Times New Roman"/>
          <w:sz w:val="24"/>
          <w:szCs w:val="24"/>
        </w:rPr>
      </w:pPr>
      <w:r w:rsidRPr="0004284D">
        <w:rPr>
          <w:rStyle w:val="authors"/>
          <w:rFonts w:ascii="Times New Roman" w:hAnsi="Times New Roman"/>
          <w:sz w:val="24"/>
          <w:szCs w:val="24"/>
        </w:rPr>
        <w:t xml:space="preserve">PricewaterhouseCoopers, 2013, </w:t>
      </w:r>
      <w:r w:rsidRPr="0004284D">
        <w:rPr>
          <w:rStyle w:val="authors"/>
          <w:rFonts w:ascii="Times New Roman" w:hAnsi="Times New Roman"/>
          <w:i/>
          <w:sz w:val="24"/>
          <w:szCs w:val="24"/>
        </w:rPr>
        <w:t>Global private banking/wealth management survey 2013</w:t>
      </w:r>
      <w:r w:rsidRPr="0004284D">
        <w:rPr>
          <w:rStyle w:val="authors"/>
          <w:rFonts w:ascii="Times New Roman" w:hAnsi="Times New Roman"/>
          <w:sz w:val="24"/>
          <w:szCs w:val="24"/>
        </w:rPr>
        <w:t xml:space="preserve"> </w:t>
      </w:r>
    </w:p>
    <w:p w:rsidR="00F47290" w:rsidRPr="0004284D" w:rsidRDefault="00F47290" w:rsidP="0004284D">
      <w:pPr>
        <w:spacing w:line="360" w:lineRule="auto"/>
        <w:rPr>
          <w:rFonts w:ascii="Times New Roman" w:hAnsi="Times New Roman"/>
          <w:sz w:val="24"/>
          <w:szCs w:val="24"/>
        </w:rPr>
      </w:pPr>
      <w:r w:rsidRPr="0004284D">
        <w:rPr>
          <w:rFonts w:ascii="Times New Roman" w:hAnsi="Times New Roman"/>
          <w:sz w:val="24"/>
          <w:szCs w:val="24"/>
        </w:rPr>
        <w:t xml:space="preserve">Reddy, K. S., 2011, </w:t>
      </w:r>
      <w:r w:rsidRPr="0004284D">
        <w:rPr>
          <w:rFonts w:ascii="Times New Roman" w:hAnsi="Times New Roman"/>
          <w:i/>
          <w:sz w:val="24"/>
          <w:szCs w:val="24"/>
        </w:rPr>
        <w:t>Management Behavior in Indian Commercial Banks</w:t>
      </w:r>
      <w:r w:rsidRPr="0004284D">
        <w:rPr>
          <w:rFonts w:ascii="Times New Roman" w:hAnsi="Times New Roman"/>
          <w:sz w:val="24"/>
          <w:szCs w:val="24"/>
        </w:rPr>
        <w:t xml:space="preserve">, International Review of Accounting, Banking and Finance, </w:t>
      </w:r>
      <w:proofErr w:type="gramStart"/>
      <w:r w:rsidRPr="0004284D">
        <w:rPr>
          <w:rFonts w:ascii="Times New Roman" w:hAnsi="Times New Roman"/>
          <w:sz w:val="24"/>
          <w:szCs w:val="24"/>
        </w:rPr>
        <w:t>V.3(</w:t>
      </w:r>
      <w:proofErr w:type="gramEnd"/>
      <w:r w:rsidRPr="0004284D">
        <w:rPr>
          <w:rFonts w:ascii="Times New Roman" w:hAnsi="Times New Roman"/>
          <w:sz w:val="24"/>
          <w:szCs w:val="24"/>
        </w:rPr>
        <w:t>3).</w:t>
      </w:r>
    </w:p>
    <w:p w:rsidR="00F47290" w:rsidRPr="0004284D" w:rsidRDefault="0004284D" w:rsidP="0004284D">
      <w:pPr>
        <w:spacing w:line="360" w:lineRule="auto"/>
        <w:rPr>
          <w:rFonts w:ascii="Times New Roman" w:hAnsi="Times New Roman"/>
          <w:sz w:val="24"/>
          <w:szCs w:val="24"/>
        </w:rPr>
      </w:pPr>
      <w:r w:rsidRPr="0004284D">
        <w:rPr>
          <w:rFonts w:ascii="Times New Roman" w:eastAsia="Times New Roman" w:hAnsi="Times New Roman"/>
          <w:sz w:val="24"/>
          <w:szCs w:val="24"/>
        </w:rPr>
        <w:t>Rose, S. (1992), “A New Approach to Private Banking,” Journal of Retail Banking, Vol. 14, Summer, p. 11-15.</w:t>
      </w:r>
      <w:r w:rsidRPr="0004284D">
        <w:rPr>
          <w:rFonts w:ascii="Times New Roman" w:eastAsia="Times New Roman" w:hAnsi="Times New Roman"/>
          <w:sz w:val="24"/>
          <w:szCs w:val="24"/>
          <w:lang w:eastAsia="en-US"/>
        </w:rPr>
        <w:t xml:space="preserve">Atz, M., 1999, </w:t>
      </w:r>
      <w:r w:rsidRPr="0004284D">
        <w:rPr>
          <w:rFonts w:ascii="Times New Roman" w:eastAsia="Times New Roman" w:hAnsi="Times New Roman"/>
          <w:i/>
          <w:sz w:val="24"/>
          <w:szCs w:val="24"/>
          <w:lang w:eastAsia="en-US"/>
        </w:rPr>
        <w:t>Questions Every Banker would like to ask about Private Banking and their Answers</w:t>
      </w:r>
      <w:r w:rsidRPr="0004284D">
        <w:rPr>
          <w:rFonts w:ascii="Times New Roman" w:eastAsia="Times New Roman" w:hAnsi="Times New Roman"/>
          <w:sz w:val="24"/>
          <w:szCs w:val="24"/>
          <w:lang w:eastAsia="en-US"/>
        </w:rPr>
        <w:t>, Emerging Issues Series Supervision and Regulation Department Federal Reserve Bank of Chicago (S&amp;R-99-6)</w:t>
      </w:r>
      <w:r w:rsidR="00F47290" w:rsidRPr="0004284D">
        <w:rPr>
          <w:rFonts w:ascii="Times New Roman" w:hAnsi="Times New Roman"/>
          <w:sz w:val="24"/>
          <w:szCs w:val="24"/>
        </w:rPr>
        <w:t xml:space="preserve">Rudolf, M., 2008, </w:t>
      </w:r>
      <w:r w:rsidR="00F47290" w:rsidRPr="0004284D">
        <w:rPr>
          <w:rFonts w:ascii="Times New Roman" w:hAnsi="Times New Roman"/>
          <w:i/>
          <w:sz w:val="24"/>
          <w:szCs w:val="24"/>
        </w:rPr>
        <w:t>Private Banking</w:t>
      </w:r>
      <w:r w:rsidR="00F47290" w:rsidRPr="0004284D">
        <w:rPr>
          <w:rFonts w:ascii="Times New Roman" w:hAnsi="Times New Roman"/>
          <w:sz w:val="24"/>
          <w:szCs w:val="24"/>
        </w:rPr>
        <w:t xml:space="preserve">, Frankfurt School </w:t>
      </w:r>
      <w:proofErr w:type="spellStart"/>
      <w:r w:rsidR="00F47290" w:rsidRPr="0004284D">
        <w:rPr>
          <w:rFonts w:ascii="Times New Roman" w:hAnsi="Times New Roman"/>
          <w:sz w:val="24"/>
          <w:szCs w:val="24"/>
        </w:rPr>
        <w:t>Verlag</w:t>
      </w:r>
      <w:proofErr w:type="spellEnd"/>
    </w:p>
    <w:p w:rsidR="00F47290" w:rsidRPr="0004284D" w:rsidRDefault="00F47290" w:rsidP="0004284D">
      <w:pPr>
        <w:spacing w:line="360" w:lineRule="auto"/>
        <w:rPr>
          <w:rStyle w:val="authors"/>
          <w:rFonts w:ascii="Times New Roman" w:hAnsi="Times New Roman"/>
          <w:sz w:val="24"/>
          <w:szCs w:val="24"/>
        </w:rPr>
      </w:pPr>
      <w:r w:rsidRPr="0004284D">
        <w:rPr>
          <w:rStyle w:val="authors"/>
          <w:rFonts w:ascii="Times New Roman" w:hAnsi="Times New Roman"/>
          <w:sz w:val="24"/>
          <w:szCs w:val="24"/>
        </w:rPr>
        <w:t xml:space="preserve">Rudolf, M., Baedorf, K. (eds.), 2011, </w:t>
      </w:r>
      <w:r w:rsidRPr="0004284D">
        <w:rPr>
          <w:rStyle w:val="authors"/>
          <w:rFonts w:ascii="Times New Roman" w:hAnsi="Times New Roman"/>
          <w:i/>
          <w:sz w:val="24"/>
          <w:szCs w:val="24"/>
        </w:rPr>
        <w:t>Private Banking</w:t>
      </w:r>
      <w:r w:rsidRPr="0004284D">
        <w:rPr>
          <w:rStyle w:val="authors"/>
          <w:rFonts w:ascii="Times New Roman" w:hAnsi="Times New Roman"/>
          <w:sz w:val="24"/>
          <w:szCs w:val="24"/>
        </w:rPr>
        <w:t xml:space="preserve">, 2nd ed. Frankfurt School of Finance Verlag, Frankfurt </w:t>
      </w:r>
    </w:p>
    <w:p w:rsidR="000A7E7A" w:rsidRDefault="00F47290" w:rsidP="000A7E7A">
      <w:pPr>
        <w:spacing w:line="360" w:lineRule="auto"/>
        <w:rPr>
          <w:rStyle w:val="authors"/>
          <w:rFonts w:ascii="Times New Roman" w:hAnsi="Times New Roman"/>
          <w:sz w:val="24"/>
          <w:szCs w:val="24"/>
        </w:rPr>
      </w:pPr>
      <w:proofErr w:type="spellStart"/>
      <w:r w:rsidRPr="0004284D">
        <w:rPr>
          <w:rFonts w:ascii="Times New Roman" w:hAnsi="Times New Roman"/>
          <w:sz w:val="24"/>
          <w:szCs w:val="24"/>
          <w:lang w:eastAsia="en-US"/>
        </w:rPr>
        <w:t>Shefrin</w:t>
      </w:r>
      <w:proofErr w:type="spellEnd"/>
      <w:r w:rsidRPr="0004284D">
        <w:rPr>
          <w:rFonts w:ascii="Times New Roman" w:hAnsi="Times New Roman"/>
          <w:sz w:val="24"/>
          <w:szCs w:val="24"/>
          <w:lang w:eastAsia="en-US"/>
        </w:rPr>
        <w:t xml:space="preserve">, H. 2000. </w:t>
      </w:r>
      <w:r w:rsidRPr="0004284D">
        <w:rPr>
          <w:rFonts w:ascii="Times New Roman" w:hAnsi="Times New Roman"/>
          <w:i/>
          <w:sz w:val="24"/>
          <w:szCs w:val="24"/>
          <w:lang w:eastAsia="en-US"/>
        </w:rPr>
        <w:t>Beyond Greed and Fear: Understanding Behavioral Finance and the Psychology of Investing</w:t>
      </w:r>
      <w:r w:rsidRPr="0004284D">
        <w:rPr>
          <w:rFonts w:ascii="Times New Roman" w:hAnsi="Times New Roman"/>
          <w:sz w:val="24"/>
          <w:szCs w:val="24"/>
          <w:lang w:eastAsia="en-US"/>
        </w:rPr>
        <w:t xml:space="preserve">. Boston, MA: </w:t>
      </w:r>
      <w:r w:rsidRPr="0004284D">
        <w:rPr>
          <w:rFonts w:ascii="Times New Roman" w:hAnsi="Times New Roman"/>
          <w:iCs/>
          <w:sz w:val="24"/>
          <w:szCs w:val="24"/>
          <w:lang w:eastAsia="en-US"/>
        </w:rPr>
        <w:t>Harvard Business School Press.</w:t>
      </w:r>
    </w:p>
    <w:p w:rsidR="000A7E7A" w:rsidRDefault="00F47290" w:rsidP="000A7E7A">
      <w:pPr>
        <w:spacing w:line="360" w:lineRule="auto"/>
        <w:rPr>
          <w:rFonts w:ascii="Times New Roman" w:hAnsi="Times New Roman"/>
          <w:sz w:val="24"/>
          <w:szCs w:val="24"/>
        </w:rPr>
      </w:pPr>
      <w:r w:rsidRPr="0004284D">
        <w:rPr>
          <w:rFonts w:ascii="Times New Roman" w:eastAsia="Times New Roman" w:hAnsi="Times New Roman"/>
          <w:sz w:val="24"/>
          <w:szCs w:val="24"/>
          <w:lang w:eastAsia="en-US"/>
        </w:rPr>
        <w:t xml:space="preserve">Smith, C., 1986, </w:t>
      </w:r>
      <w:r w:rsidRPr="0004284D">
        <w:rPr>
          <w:rFonts w:ascii="Times New Roman" w:eastAsia="Times New Roman" w:hAnsi="Times New Roman"/>
          <w:i/>
          <w:sz w:val="24"/>
          <w:szCs w:val="24"/>
          <w:lang w:eastAsia="en-US"/>
        </w:rPr>
        <w:t>Investment Banking and the Capital Acquisition Process</w:t>
      </w:r>
      <w:r w:rsidRPr="0004284D">
        <w:rPr>
          <w:rFonts w:ascii="Times New Roman" w:eastAsia="Times New Roman" w:hAnsi="Times New Roman"/>
          <w:sz w:val="24"/>
          <w:szCs w:val="24"/>
          <w:lang w:eastAsia="en-US"/>
        </w:rPr>
        <w:t>, Journ</w:t>
      </w:r>
      <w:r w:rsidR="00FE4E74" w:rsidRPr="0004284D">
        <w:rPr>
          <w:rFonts w:ascii="Times New Roman" w:eastAsia="Times New Roman" w:hAnsi="Times New Roman"/>
          <w:sz w:val="24"/>
          <w:szCs w:val="24"/>
          <w:lang w:eastAsia="en-US"/>
        </w:rPr>
        <w:t xml:space="preserve">al of Financial Economics, 15. </w:t>
      </w:r>
    </w:p>
    <w:p w:rsidR="00FE4E74" w:rsidRPr="000A7E7A" w:rsidRDefault="00D04E15" w:rsidP="000A7E7A">
      <w:pPr>
        <w:spacing w:line="360" w:lineRule="auto"/>
        <w:rPr>
          <w:rFonts w:ascii="Times New Roman" w:hAnsi="Times New Roman"/>
          <w:sz w:val="24"/>
          <w:szCs w:val="24"/>
        </w:rPr>
      </w:pPr>
      <w:hyperlink r:id="rId12" w:history="1">
        <w:proofErr w:type="spellStart"/>
        <w:r w:rsidR="00FE4E74" w:rsidRPr="0004284D">
          <w:rPr>
            <w:rFonts w:ascii="Times New Roman" w:eastAsia="Times New Roman" w:hAnsi="Times New Roman"/>
            <w:sz w:val="24"/>
            <w:szCs w:val="24"/>
          </w:rPr>
          <w:t>Surtani</w:t>
        </w:r>
        <w:proofErr w:type="spellEnd"/>
      </w:hyperlink>
      <w:r w:rsidR="00FE4E74" w:rsidRPr="0004284D">
        <w:rPr>
          <w:rFonts w:ascii="Times New Roman" w:eastAsia="Times New Roman" w:hAnsi="Times New Roman"/>
          <w:sz w:val="24"/>
          <w:szCs w:val="24"/>
        </w:rPr>
        <w:t xml:space="preserve">, Jackie B. (1991) </w:t>
      </w:r>
      <w:r w:rsidR="00FE4E74" w:rsidRPr="0004284D">
        <w:rPr>
          <w:rFonts w:ascii="Times New Roman" w:eastAsia="Times New Roman" w:hAnsi="Times New Roman"/>
          <w:i/>
          <w:sz w:val="24"/>
          <w:szCs w:val="24"/>
        </w:rPr>
        <w:t>Marketing of P</w:t>
      </w:r>
      <w:r w:rsidR="000A7E7A">
        <w:rPr>
          <w:rFonts w:ascii="Times New Roman" w:eastAsia="Times New Roman" w:hAnsi="Times New Roman"/>
          <w:i/>
          <w:sz w:val="24"/>
          <w:szCs w:val="24"/>
        </w:rPr>
        <w:t xml:space="preserve">rivate Banking Services in Hong </w:t>
      </w:r>
      <w:r w:rsidR="00FE4E74" w:rsidRPr="0004284D">
        <w:rPr>
          <w:rFonts w:ascii="Times New Roman" w:eastAsia="Times New Roman" w:hAnsi="Times New Roman"/>
          <w:i/>
          <w:sz w:val="24"/>
          <w:szCs w:val="24"/>
        </w:rPr>
        <w:t>Kong</w:t>
      </w:r>
      <w:r w:rsidR="00FE4E74" w:rsidRPr="0004284D">
        <w:rPr>
          <w:rFonts w:ascii="Times New Roman" w:eastAsia="Times New Roman" w:hAnsi="Times New Roman"/>
          <w:sz w:val="24"/>
          <w:szCs w:val="24"/>
        </w:rPr>
        <w:t xml:space="preserve">, International Journal of Bank Marketing, Vol. 9 </w:t>
      </w:r>
      <w:proofErr w:type="spellStart"/>
      <w:r w:rsidR="00FE4E74" w:rsidRPr="0004284D">
        <w:rPr>
          <w:rFonts w:ascii="Times New Roman" w:eastAsia="Times New Roman" w:hAnsi="Times New Roman"/>
          <w:sz w:val="24"/>
          <w:szCs w:val="24"/>
        </w:rPr>
        <w:t>Iss</w:t>
      </w:r>
      <w:proofErr w:type="spellEnd"/>
      <w:r w:rsidR="00FE4E74" w:rsidRPr="0004284D">
        <w:rPr>
          <w:rFonts w:ascii="Times New Roman" w:eastAsia="Times New Roman" w:hAnsi="Times New Roman"/>
          <w:sz w:val="24"/>
          <w:szCs w:val="24"/>
        </w:rPr>
        <w:t>: 5, pp.35 – 40</w:t>
      </w:r>
    </w:p>
    <w:p w:rsidR="00F47290" w:rsidRPr="0004284D" w:rsidRDefault="00F47290" w:rsidP="0004284D">
      <w:pPr>
        <w:spacing w:line="360" w:lineRule="auto"/>
        <w:rPr>
          <w:rStyle w:val="authors"/>
          <w:rFonts w:ascii="Times New Roman" w:hAnsi="Times New Roman"/>
          <w:sz w:val="24"/>
          <w:szCs w:val="24"/>
        </w:rPr>
      </w:pPr>
      <w:r w:rsidRPr="0004284D">
        <w:rPr>
          <w:rStyle w:val="authors"/>
          <w:rFonts w:ascii="Times New Roman" w:hAnsi="Times New Roman"/>
          <w:sz w:val="24"/>
          <w:szCs w:val="24"/>
        </w:rPr>
        <w:lastRenderedPageBreak/>
        <w:t xml:space="preserve">Tilmes, R., 2002, </w:t>
      </w:r>
      <w:r w:rsidRPr="0004284D">
        <w:rPr>
          <w:rStyle w:val="authors"/>
          <w:rFonts w:ascii="Times New Roman" w:hAnsi="Times New Roman"/>
          <w:i/>
          <w:sz w:val="24"/>
          <w:szCs w:val="24"/>
        </w:rPr>
        <w:t>Financial Planning in Private Banking</w:t>
      </w:r>
      <w:r w:rsidRPr="0004284D">
        <w:rPr>
          <w:rStyle w:val="authors"/>
          <w:rFonts w:ascii="Times New Roman" w:hAnsi="Times New Roman"/>
          <w:sz w:val="24"/>
          <w:szCs w:val="24"/>
        </w:rPr>
        <w:t>: Kundenorientierte Gestaltung einer Beratungsdienstleistung, 3rd ed. Uhlenbruch, Bad Soden.</w:t>
      </w:r>
    </w:p>
    <w:p w:rsidR="00F47290" w:rsidRPr="0004284D" w:rsidRDefault="00F47290" w:rsidP="0004284D">
      <w:pPr>
        <w:spacing w:line="360" w:lineRule="auto"/>
        <w:rPr>
          <w:rFonts w:ascii="Times New Roman" w:hAnsi="Times New Roman"/>
          <w:sz w:val="24"/>
          <w:szCs w:val="24"/>
        </w:rPr>
      </w:pPr>
      <w:r w:rsidRPr="0004284D">
        <w:rPr>
          <w:rFonts w:ascii="Times New Roman" w:hAnsi="Times New Roman"/>
          <w:sz w:val="24"/>
          <w:szCs w:val="24"/>
        </w:rPr>
        <w:t>The Boston Consulting Group and CCB Private Banking, 2012,</w:t>
      </w:r>
      <w:r w:rsidRPr="0004284D">
        <w:rPr>
          <w:rStyle w:val="Emphasis"/>
          <w:rFonts w:ascii="Times New Roman" w:hAnsi="Times New Roman"/>
          <w:sz w:val="24"/>
          <w:szCs w:val="24"/>
        </w:rPr>
        <w:t xml:space="preserve"> China Wealth 2012: Strengthening Competitive Edge for Sustainable Development, </w:t>
      </w:r>
    </w:p>
    <w:p w:rsidR="000A7E7A" w:rsidRPr="0004284D" w:rsidRDefault="000A7E7A" w:rsidP="000A7E7A">
      <w:pPr>
        <w:spacing w:line="360" w:lineRule="auto"/>
        <w:rPr>
          <w:rFonts w:ascii="Times New Roman" w:hAnsi="Times New Roman"/>
          <w:sz w:val="24"/>
          <w:szCs w:val="24"/>
        </w:rPr>
      </w:pPr>
      <w:r w:rsidRPr="0004284D">
        <w:rPr>
          <w:rFonts w:ascii="Times New Roman" w:eastAsiaTheme="minorEastAsia" w:hAnsi="Times New Roman"/>
          <w:sz w:val="24"/>
          <w:szCs w:val="24"/>
          <w:lang w:eastAsia="en-US"/>
        </w:rPr>
        <w:t xml:space="preserve">The </w:t>
      </w:r>
      <w:proofErr w:type="spellStart"/>
      <w:r w:rsidRPr="0004284D">
        <w:rPr>
          <w:rFonts w:ascii="Times New Roman" w:eastAsiaTheme="minorEastAsia" w:hAnsi="Times New Roman"/>
          <w:sz w:val="24"/>
          <w:szCs w:val="24"/>
          <w:lang w:eastAsia="en-US"/>
        </w:rPr>
        <w:t>Cerulli</w:t>
      </w:r>
      <w:proofErr w:type="spellEnd"/>
      <w:r w:rsidRPr="0004284D">
        <w:rPr>
          <w:rFonts w:ascii="Times New Roman" w:eastAsiaTheme="minorEastAsia" w:hAnsi="Times New Roman"/>
          <w:sz w:val="24"/>
          <w:szCs w:val="24"/>
          <w:lang w:eastAsia="en-US"/>
        </w:rPr>
        <w:t xml:space="preserve"> Edge, 2010, Adviser Edition.</w:t>
      </w:r>
    </w:p>
    <w:p w:rsidR="00F47290" w:rsidRPr="0004284D" w:rsidRDefault="00F47290" w:rsidP="0004284D">
      <w:pPr>
        <w:spacing w:line="360" w:lineRule="auto"/>
        <w:rPr>
          <w:rFonts w:ascii="Times New Roman" w:hAnsi="Times New Roman"/>
          <w:sz w:val="24"/>
          <w:szCs w:val="24"/>
        </w:rPr>
      </w:pPr>
      <w:r w:rsidRPr="0004284D">
        <w:rPr>
          <w:rFonts w:ascii="Times New Roman" w:hAnsi="Times New Roman"/>
          <w:sz w:val="24"/>
          <w:szCs w:val="24"/>
        </w:rPr>
        <w:t>The Economist, June 10, 2004 “</w:t>
      </w:r>
      <w:r w:rsidRPr="0004284D">
        <w:rPr>
          <w:rFonts w:ascii="Times New Roman" w:hAnsi="Times New Roman"/>
          <w:i/>
          <w:sz w:val="24"/>
          <w:szCs w:val="24"/>
        </w:rPr>
        <w:t>Private Banking in Asia – Striking it Rich</w:t>
      </w:r>
      <w:r w:rsidRPr="0004284D">
        <w:rPr>
          <w:rFonts w:ascii="Times New Roman" w:hAnsi="Times New Roman"/>
          <w:sz w:val="24"/>
          <w:szCs w:val="24"/>
        </w:rPr>
        <w:t xml:space="preserve">’ </w:t>
      </w:r>
    </w:p>
    <w:p w:rsidR="00F47290" w:rsidRPr="0004284D" w:rsidRDefault="00F47290" w:rsidP="0004284D">
      <w:pPr>
        <w:spacing w:line="360" w:lineRule="auto"/>
        <w:rPr>
          <w:rFonts w:ascii="Times New Roman" w:hAnsi="Times New Roman"/>
          <w:sz w:val="24"/>
          <w:szCs w:val="24"/>
        </w:rPr>
      </w:pPr>
      <w:r w:rsidRPr="0004284D">
        <w:rPr>
          <w:rFonts w:ascii="Times New Roman" w:hAnsi="Times New Roman"/>
          <w:sz w:val="24"/>
          <w:szCs w:val="24"/>
          <w:lang w:eastAsia="en-US"/>
        </w:rPr>
        <w:t xml:space="preserve">The Swiss Bankers Association, </w:t>
      </w:r>
      <w:proofErr w:type="gramStart"/>
      <w:r w:rsidRPr="0004284D">
        <w:rPr>
          <w:rFonts w:ascii="Times New Roman" w:hAnsi="Times New Roman"/>
          <w:i/>
          <w:iCs/>
          <w:sz w:val="24"/>
          <w:szCs w:val="24"/>
          <w:lang w:eastAsia="en-US"/>
        </w:rPr>
        <w:t>The</w:t>
      </w:r>
      <w:proofErr w:type="gramEnd"/>
      <w:r w:rsidRPr="0004284D">
        <w:rPr>
          <w:rFonts w:ascii="Times New Roman" w:hAnsi="Times New Roman"/>
          <w:i/>
          <w:iCs/>
          <w:sz w:val="24"/>
          <w:szCs w:val="24"/>
          <w:lang w:eastAsia="en-US"/>
        </w:rPr>
        <w:t xml:space="preserve"> Swiss Banking Sector Compendium 2010 </w:t>
      </w:r>
      <w:r w:rsidRPr="0004284D">
        <w:rPr>
          <w:rFonts w:ascii="Times New Roman" w:hAnsi="Times New Roman"/>
          <w:sz w:val="24"/>
          <w:szCs w:val="24"/>
          <w:lang w:eastAsia="en-US"/>
        </w:rPr>
        <w:t>(Basel 2010) 41.</w:t>
      </w:r>
    </w:p>
    <w:p w:rsidR="00F47290" w:rsidRPr="0004284D" w:rsidRDefault="00F47290" w:rsidP="0004284D">
      <w:pPr>
        <w:spacing w:line="360" w:lineRule="auto"/>
        <w:rPr>
          <w:rFonts w:ascii="Times New Roman" w:hAnsi="Times New Roman"/>
          <w:sz w:val="24"/>
          <w:szCs w:val="24"/>
        </w:rPr>
      </w:pPr>
      <w:r w:rsidRPr="0004284D">
        <w:rPr>
          <w:rFonts w:ascii="Times New Roman" w:hAnsi="Times New Roman"/>
          <w:sz w:val="24"/>
          <w:szCs w:val="24"/>
          <w:lang w:val="it-IT"/>
        </w:rPr>
        <w:t xml:space="preserve">The Wall Street Journal, Aug., 29, 2014, </w:t>
      </w:r>
      <w:r w:rsidRPr="0004284D">
        <w:rPr>
          <w:rFonts w:ascii="Times New Roman" w:hAnsi="Times New Roman"/>
          <w:i/>
          <w:sz w:val="24"/>
          <w:szCs w:val="24"/>
          <w:lang w:val="it-IT"/>
        </w:rPr>
        <w:t>Borrowing is a Risky Way to Invest</w:t>
      </w:r>
      <w:r w:rsidRPr="0004284D">
        <w:rPr>
          <w:rFonts w:ascii="Times New Roman" w:hAnsi="Times New Roman"/>
          <w:sz w:val="24"/>
          <w:szCs w:val="24"/>
          <w:lang w:val="it-IT"/>
        </w:rPr>
        <w:t xml:space="preserve">  </w:t>
      </w:r>
    </w:p>
    <w:p w:rsidR="00F47290" w:rsidRPr="0004284D" w:rsidRDefault="00F47290" w:rsidP="0004284D">
      <w:pPr>
        <w:spacing w:line="360" w:lineRule="auto"/>
        <w:rPr>
          <w:rFonts w:ascii="Times New Roman" w:hAnsi="Times New Roman"/>
          <w:sz w:val="24"/>
          <w:szCs w:val="24"/>
        </w:rPr>
      </w:pPr>
      <w:r w:rsidRPr="0004284D">
        <w:rPr>
          <w:rFonts w:ascii="Times New Roman" w:hAnsi="Times New Roman"/>
          <w:sz w:val="24"/>
          <w:szCs w:val="24"/>
          <w:lang w:val="it-IT"/>
        </w:rPr>
        <w:t xml:space="preserve">Tvede, L., 2002, </w:t>
      </w:r>
      <w:r w:rsidRPr="0004284D">
        <w:rPr>
          <w:rFonts w:ascii="Times New Roman" w:hAnsi="Times New Roman"/>
          <w:i/>
          <w:sz w:val="24"/>
          <w:szCs w:val="24"/>
          <w:lang w:val="it-IT"/>
        </w:rPr>
        <w:t>The Psychology of Finance, Understanding the Behavioral Dynamcis of Markets</w:t>
      </w:r>
      <w:r w:rsidRPr="0004284D">
        <w:rPr>
          <w:rFonts w:ascii="Times New Roman" w:hAnsi="Times New Roman"/>
          <w:sz w:val="24"/>
          <w:szCs w:val="24"/>
          <w:lang w:val="it-IT"/>
        </w:rPr>
        <w:t xml:space="preserve">, Wiley, NJ.  </w:t>
      </w:r>
    </w:p>
    <w:p w:rsidR="0004284D" w:rsidRPr="0004284D" w:rsidRDefault="00F47290" w:rsidP="0004284D">
      <w:pPr>
        <w:spacing w:line="360" w:lineRule="auto"/>
        <w:rPr>
          <w:rFonts w:ascii="Times New Roman" w:hAnsi="Times New Roman"/>
          <w:sz w:val="24"/>
          <w:szCs w:val="24"/>
        </w:rPr>
      </w:pPr>
      <w:r w:rsidRPr="0004284D">
        <w:rPr>
          <w:rFonts w:ascii="Times New Roman" w:hAnsi="Times New Roman"/>
          <w:sz w:val="24"/>
          <w:szCs w:val="24"/>
        </w:rPr>
        <w:t>UBS</w:t>
      </w:r>
      <w:r w:rsidRPr="0004284D">
        <w:rPr>
          <w:rFonts w:ascii="Times New Roman" w:hAnsi="Times New Roman"/>
          <w:i/>
          <w:sz w:val="24"/>
          <w:szCs w:val="24"/>
        </w:rPr>
        <w:t xml:space="preserve">, </w:t>
      </w:r>
      <w:r w:rsidRPr="0004284D">
        <w:rPr>
          <w:rFonts w:ascii="Times New Roman" w:hAnsi="Times New Roman"/>
          <w:sz w:val="24"/>
          <w:szCs w:val="24"/>
        </w:rPr>
        <w:t>2011</w:t>
      </w:r>
      <w:r w:rsidRPr="0004284D">
        <w:rPr>
          <w:rFonts w:ascii="Times New Roman" w:hAnsi="Times New Roman"/>
          <w:i/>
          <w:sz w:val="24"/>
          <w:szCs w:val="24"/>
        </w:rPr>
        <w:t xml:space="preserve">, UBS Wealth Management </w:t>
      </w:r>
      <w:r w:rsidRPr="0004284D">
        <w:rPr>
          <w:rFonts w:ascii="Times New Roman" w:hAnsi="Times New Roman"/>
          <w:bCs/>
          <w:i/>
          <w:sz w:val="24"/>
          <w:szCs w:val="24"/>
        </w:rPr>
        <w:t>Investor Day 2011</w:t>
      </w:r>
      <w:r w:rsidRPr="0004284D">
        <w:rPr>
          <w:rFonts w:ascii="Times New Roman" w:hAnsi="Times New Roman"/>
          <w:sz w:val="24"/>
          <w:szCs w:val="24"/>
        </w:rPr>
        <w:t xml:space="preserve"> November 17.</w:t>
      </w:r>
    </w:p>
    <w:p w:rsidR="0004284D" w:rsidRPr="0004284D" w:rsidRDefault="00FE4E74" w:rsidP="0004284D">
      <w:pPr>
        <w:spacing w:line="360" w:lineRule="auto"/>
        <w:rPr>
          <w:rFonts w:ascii="Times New Roman" w:eastAsia="Times New Roman" w:hAnsi="Times New Roman"/>
          <w:sz w:val="24"/>
          <w:szCs w:val="24"/>
        </w:rPr>
      </w:pPr>
      <w:r w:rsidRPr="0004284D">
        <w:rPr>
          <w:rFonts w:ascii="Times New Roman" w:eastAsiaTheme="minorEastAsia" w:hAnsi="Times New Roman"/>
          <w:sz w:val="24"/>
          <w:szCs w:val="24"/>
          <w:lang w:eastAsia="en-US"/>
        </w:rPr>
        <w:t xml:space="preserve">Vincent, Gauthier P., 2010, </w:t>
      </w:r>
      <w:r w:rsidRPr="0004284D">
        <w:rPr>
          <w:rFonts w:ascii="Times New Roman" w:eastAsiaTheme="minorEastAsia" w:hAnsi="Times New Roman"/>
          <w:bCs/>
          <w:sz w:val="24"/>
          <w:szCs w:val="24"/>
          <w:lang w:eastAsia="en-US"/>
        </w:rPr>
        <w:t xml:space="preserve">Capabilities-Driven Strategy in Financial Services </w:t>
      </w:r>
      <w:r w:rsidRPr="0004284D">
        <w:rPr>
          <w:rFonts w:ascii="Times New Roman" w:eastAsiaTheme="minorEastAsia" w:hAnsi="Times New Roman"/>
          <w:bCs/>
          <w:i/>
          <w:iCs/>
          <w:sz w:val="24"/>
          <w:szCs w:val="24"/>
          <w:lang w:eastAsia="en-US"/>
        </w:rPr>
        <w:t>The Successful Case of a Private Banking Unit</w:t>
      </w:r>
      <w:r w:rsidRPr="0004284D">
        <w:rPr>
          <w:rFonts w:ascii="Times New Roman" w:eastAsiaTheme="minorEastAsia" w:hAnsi="Times New Roman"/>
          <w:bCs/>
          <w:iCs/>
          <w:sz w:val="24"/>
          <w:szCs w:val="24"/>
          <w:lang w:eastAsia="en-US"/>
        </w:rPr>
        <w:t>,”</w:t>
      </w:r>
      <w:r w:rsidRPr="0004284D">
        <w:rPr>
          <w:rFonts w:ascii="Times New Roman" w:eastAsiaTheme="minorEastAsia" w:hAnsi="Times New Roman"/>
          <w:bCs/>
          <w:sz w:val="24"/>
          <w:szCs w:val="24"/>
          <w:lang w:eastAsia="en-US"/>
        </w:rPr>
        <w:t xml:space="preserve"> Booz &amp; Company.</w:t>
      </w:r>
      <w:r w:rsidR="00F47290" w:rsidRPr="0004284D">
        <w:rPr>
          <w:rFonts w:ascii="Times New Roman" w:hAnsi="Times New Roman"/>
          <w:sz w:val="24"/>
          <w:szCs w:val="24"/>
        </w:rPr>
        <w:t xml:space="preserve"> </w:t>
      </w:r>
      <w:r w:rsidR="00D04E15" w:rsidRPr="00D04E15">
        <w:rPr>
          <w:rFonts w:ascii="Times New Roman" w:hAnsi="Times New Roman"/>
          <w:sz w:val="24"/>
          <w:szCs w:val="24"/>
        </w:rPr>
        <w:fldChar w:fldCharType="begin"/>
      </w:r>
      <w:r w:rsidR="00881587" w:rsidRPr="0004284D">
        <w:rPr>
          <w:rFonts w:ascii="Times New Roman" w:hAnsi="Times New Roman"/>
          <w:sz w:val="24"/>
          <w:szCs w:val="24"/>
        </w:rPr>
        <w:instrText xml:space="preserve"> HYPERLINK "http://www.emeraldinsight.com/action/doSearch?ContribStored=Wright%2C+M" </w:instrText>
      </w:r>
      <w:r w:rsidR="00D04E15" w:rsidRPr="00D04E15">
        <w:rPr>
          <w:rFonts w:ascii="Times New Roman" w:hAnsi="Times New Roman"/>
          <w:sz w:val="24"/>
          <w:szCs w:val="24"/>
        </w:rPr>
        <w:fldChar w:fldCharType="separate"/>
      </w:r>
    </w:p>
    <w:p w:rsidR="00881587" w:rsidRPr="0004284D" w:rsidRDefault="00881587" w:rsidP="0004284D">
      <w:pPr>
        <w:spacing w:line="360" w:lineRule="auto"/>
        <w:rPr>
          <w:rFonts w:ascii="Times New Roman" w:hAnsi="Times New Roman"/>
          <w:sz w:val="24"/>
          <w:szCs w:val="24"/>
        </w:rPr>
      </w:pPr>
      <w:r w:rsidRPr="0004284D">
        <w:rPr>
          <w:rFonts w:ascii="Times New Roman" w:eastAsia="Times New Roman" w:hAnsi="Times New Roman"/>
          <w:sz w:val="24"/>
          <w:szCs w:val="24"/>
        </w:rPr>
        <w:t>Wright</w:t>
      </w:r>
      <w:r w:rsidR="00D04E15" w:rsidRPr="0004284D">
        <w:rPr>
          <w:rFonts w:ascii="Times New Roman" w:eastAsia="Times New Roman" w:hAnsi="Times New Roman"/>
          <w:sz w:val="24"/>
          <w:szCs w:val="24"/>
        </w:rPr>
        <w:fldChar w:fldCharType="end"/>
      </w:r>
      <w:r w:rsidRPr="0004284D">
        <w:rPr>
          <w:rFonts w:ascii="Times New Roman" w:eastAsia="Times New Roman" w:hAnsi="Times New Roman"/>
          <w:sz w:val="24"/>
          <w:szCs w:val="24"/>
        </w:rPr>
        <w:t xml:space="preserve">, Mike and </w:t>
      </w:r>
      <w:hyperlink r:id="rId13" w:history="1">
        <w:r w:rsidRPr="0004284D">
          <w:rPr>
            <w:rFonts w:ascii="Times New Roman" w:eastAsia="Times New Roman" w:hAnsi="Times New Roman"/>
            <w:sz w:val="24"/>
            <w:szCs w:val="24"/>
          </w:rPr>
          <w:t>Trevor Watkins</w:t>
        </w:r>
      </w:hyperlink>
      <w:r w:rsidRPr="0004284D">
        <w:rPr>
          <w:rFonts w:ascii="Times New Roman" w:eastAsia="Times New Roman" w:hAnsi="Times New Roman"/>
          <w:sz w:val="24"/>
          <w:szCs w:val="24"/>
        </w:rPr>
        <w:t xml:space="preserve">, (1986) "Banks and Developments in the Personal Financial Services Market: Evidence from a Questionnaire Survey", International Journal of Bank Marketing, Vol. 4 </w:t>
      </w:r>
      <w:proofErr w:type="spellStart"/>
      <w:r w:rsidRPr="0004284D">
        <w:rPr>
          <w:rFonts w:ascii="Times New Roman" w:eastAsia="Times New Roman" w:hAnsi="Times New Roman"/>
          <w:sz w:val="24"/>
          <w:szCs w:val="24"/>
        </w:rPr>
        <w:t>Iss</w:t>
      </w:r>
      <w:proofErr w:type="spellEnd"/>
      <w:r w:rsidRPr="0004284D">
        <w:rPr>
          <w:rFonts w:ascii="Times New Roman" w:eastAsia="Times New Roman" w:hAnsi="Times New Roman"/>
          <w:sz w:val="24"/>
          <w:szCs w:val="24"/>
        </w:rPr>
        <w:t>: 2, pp.24 - 34</w:t>
      </w:r>
    </w:p>
    <w:p w:rsidR="00881587" w:rsidRPr="0004284D" w:rsidRDefault="00881587" w:rsidP="0004284D">
      <w:pPr>
        <w:widowControl w:val="0"/>
        <w:autoSpaceDE w:val="0"/>
        <w:autoSpaceDN w:val="0"/>
        <w:adjustRightInd w:val="0"/>
        <w:spacing w:after="0" w:line="360" w:lineRule="auto"/>
        <w:rPr>
          <w:rFonts w:ascii="Times New Roman" w:eastAsia="Times New Roman" w:hAnsi="Times New Roman"/>
          <w:sz w:val="24"/>
          <w:szCs w:val="24"/>
        </w:rPr>
      </w:pPr>
    </w:p>
    <w:p w:rsidR="00881587" w:rsidRPr="006B5E0E" w:rsidRDefault="00881587" w:rsidP="00881587">
      <w:pPr>
        <w:spacing w:line="480" w:lineRule="auto"/>
        <w:ind w:right="288"/>
        <w:rPr>
          <w:rFonts w:ascii="Times New Roman" w:hAnsi="Times New Roman"/>
          <w:b/>
          <w:sz w:val="24"/>
          <w:szCs w:val="24"/>
          <w:lang w:eastAsia="zh-CN"/>
        </w:rPr>
      </w:pPr>
    </w:p>
    <w:p w:rsidR="00881587" w:rsidRPr="006B5E0E" w:rsidRDefault="00881587" w:rsidP="00881587">
      <w:pPr>
        <w:spacing w:line="480" w:lineRule="auto"/>
        <w:ind w:left="374" w:right="115"/>
        <w:jc w:val="center"/>
        <w:rPr>
          <w:rFonts w:ascii="Times New Roman" w:hAnsi="Times New Roman"/>
          <w:b/>
          <w:sz w:val="24"/>
          <w:szCs w:val="24"/>
        </w:rPr>
      </w:pPr>
    </w:p>
    <w:p w:rsidR="00F47290" w:rsidRPr="006B5E0E" w:rsidRDefault="00F47290" w:rsidP="006B5E0E">
      <w:pPr>
        <w:spacing w:after="0" w:line="480" w:lineRule="auto"/>
        <w:rPr>
          <w:rFonts w:ascii="Times New Roman" w:eastAsia="Times New Roman" w:hAnsi="Times New Roman"/>
          <w:sz w:val="24"/>
          <w:szCs w:val="24"/>
          <w:lang w:eastAsia="en-US"/>
        </w:rPr>
      </w:pPr>
    </w:p>
    <w:p w:rsidR="00D240EC" w:rsidRPr="006B5E0E" w:rsidRDefault="00D240EC" w:rsidP="006B5E0E">
      <w:pPr>
        <w:spacing w:after="0" w:line="480" w:lineRule="auto"/>
        <w:rPr>
          <w:rFonts w:ascii="Times New Roman" w:eastAsia="Times New Roman" w:hAnsi="Times New Roman"/>
          <w:sz w:val="24"/>
          <w:szCs w:val="24"/>
        </w:rPr>
      </w:pPr>
    </w:p>
    <w:p w:rsidR="006D28E5" w:rsidRPr="006B5E0E" w:rsidRDefault="006D28E5" w:rsidP="006B5E0E">
      <w:pPr>
        <w:spacing w:after="0" w:line="480" w:lineRule="auto"/>
        <w:rPr>
          <w:rFonts w:ascii="Times New Roman" w:eastAsia="Times New Roman" w:hAnsi="Times New Roman"/>
          <w:sz w:val="24"/>
          <w:szCs w:val="24"/>
        </w:rPr>
      </w:pPr>
      <w:r w:rsidRPr="006B5E0E">
        <w:rPr>
          <w:rFonts w:ascii="Times New Roman" w:eastAsia="Times New Roman" w:hAnsi="Times New Roman"/>
          <w:sz w:val="24"/>
          <w:szCs w:val="24"/>
        </w:rPr>
        <w:br w:type="page"/>
      </w:r>
    </w:p>
    <w:p w:rsidR="005E1081" w:rsidRPr="006B5E0E" w:rsidRDefault="006D28E5" w:rsidP="006B5E0E">
      <w:pPr>
        <w:spacing w:after="0" w:line="480" w:lineRule="auto"/>
        <w:rPr>
          <w:rFonts w:ascii="Times New Roman" w:eastAsia="Times New Roman" w:hAnsi="Times New Roman"/>
          <w:sz w:val="24"/>
          <w:szCs w:val="24"/>
        </w:rPr>
      </w:pPr>
      <w:r w:rsidRPr="006B5E0E">
        <w:rPr>
          <w:rFonts w:ascii="Times New Roman" w:eastAsia="Times New Roman" w:hAnsi="Times New Roman"/>
          <w:sz w:val="24"/>
          <w:szCs w:val="24"/>
        </w:rPr>
        <w:lastRenderedPageBreak/>
        <w:t>Figure 1</w:t>
      </w:r>
      <w:r w:rsidR="00881587">
        <w:rPr>
          <w:rFonts w:ascii="Times New Roman" w:eastAsia="Times New Roman" w:hAnsi="Times New Roman"/>
          <w:sz w:val="24"/>
          <w:szCs w:val="24"/>
        </w:rPr>
        <w:t>: A Generic “Level-</w:t>
      </w:r>
      <w:r w:rsidR="001C4976">
        <w:rPr>
          <w:rFonts w:ascii="Times New Roman" w:eastAsia="Times New Roman" w:hAnsi="Times New Roman"/>
          <w:sz w:val="24"/>
          <w:szCs w:val="24"/>
        </w:rPr>
        <w:t>of-Wealth</w:t>
      </w:r>
      <w:r w:rsidR="00881587">
        <w:rPr>
          <w:rFonts w:ascii="Times New Roman" w:eastAsia="Times New Roman" w:hAnsi="Times New Roman"/>
          <w:sz w:val="24"/>
          <w:szCs w:val="24"/>
        </w:rPr>
        <w:t>” Segmentation Model of Private Banking Clients.</w:t>
      </w:r>
    </w:p>
    <w:p w:rsidR="005E1081" w:rsidRPr="006B5E0E" w:rsidRDefault="005E1081" w:rsidP="006B5E0E">
      <w:pPr>
        <w:spacing w:after="0" w:line="480" w:lineRule="auto"/>
        <w:rPr>
          <w:rFonts w:ascii="Times New Roman" w:eastAsia="Times New Roman" w:hAnsi="Times New Roman"/>
          <w:sz w:val="24"/>
          <w:szCs w:val="24"/>
        </w:rPr>
      </w:pPr>
      <w:r w:rsidRPr="006B5E0E">
        <w:rPr>
          <w:rFonts w:ascii="Times New Roman" w:eastAsia="Times New Roman" w:hAnsi="Times New Roman"/>
          <w:noProof/>
          <w:sz w:val="24"/>
          <w:szCs w:val="24"/>
          <w:lang w:eastAsia="en-US"/>
        </w:rPr>
        <w:drawing>
          <wp:inline distT="0" distB="0" distL="0" distR="0">
            <wp:extent cx="5486400" cy="3200400"/>
            <wp:effectExtent l="19050" t="0" r="1905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r w:rsidRPr="006B5E0E">
        <w:rPr>
          <w:rFonts w:ascii="Times New Roman" w:eastAsia="Times New Roman" w:hAnsi="Times New Roman"/>
          <w:sz w:val="24"/>
          <w:szCs w:val="24"/>
        </w:rPr>
        <w:br w:type="page"/>
      </w:r>
    </w:p>
    <w:p w:rsidR="00496A27" w:rsidRPr="006B5E0E" w:rsidRDefault="00496A27" w:rsidP="006B5E0E">
      <w:pPr>
        <w:spacing w:before="100" w:beforeAutospacing="1" w:after="100" w:afterAutospacing="1" w:line="480" w:lineRule="auto"/>
        <w:rPr>
          <w:rFonts w:ascii="Times New Roman" w:eastAsia="Times New Roman" w:hAnsi="Times New Roman"/>
          <w:sz w:val="24"/>
          <w:szCs w:val="24"/>
        </w:rPr>
      </w:pPr>
      <w:r w:rsidRPr="006B5E0E">
        <w:rPr>
          <w:rFonts w:ascii="Times New Roman" w:eastAsia="Times New Roman" w:hAnsi="Times New Roman"/>
          <w:sz w:val="24"/>
          <w:szCs w:val="24"/>
        </w:rPr>
        <w:lastRenderedPageBreak/>
        <w:t xml:space="preserve">Table 1: Reclassification into the 4E Model.   </w:t>
      </w:r>
    </w:p>
    <w:tbl>
      <w:tblPr>
        <w:tblW w:w="10695"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36"/>
        <w:gridCol w:w="1603"/>
        <w:gridCol w:w="2270"/>
        <w:gridCol w:w="2643"/>
        <w:gridCol w:w="2643"/>
      </w:tblGrid>
      <w:tr w:rsidR="00496A27" w:rsidRPr="006B5E0E" w:rsidTr="00773316">
        <w:tc>
          <w:tcPr>
            <w:tcW w:w="1536" w:type="dxa"/>
          </w:tcPr>
          <w:p w:rsidR="00496A27" w:rsidRPr="006B5E0E" w:rsidRDefault="00496A27" w:rsidP="006B5E0E">
            <w:pPr>
              <w:spacing w:before="100" w:beforeAutospacing="1" w:after="100" w:afterAutospacing="1" w:line="480" w:lineRule="auto"/>
              <w:rPr>
                <w:rFonts w:ascii="Times New Roman" w:hAnsi="Times New Roman"/>
                <w:sz w:val="24"/>
                <w:szCs w:val="24"/>
              </w:rPr>
            </w:pPr>
            <w:r w:rsidRPr="006B5E0E">
              <w:rPr>
                <w:rFonts w:ascii="Times New Roman" w:hAnsi="Times New Roman"/>
                <w:sz w:val="24"/>
                <w:szCs w:val="24"/>
              </w:rPr>
              <w:t xml:space="preserve">Traditional Classification </w:t>
            </w:r>
          </w:p>
        </w:tc>
        <w:tc>
          <w:tcPr>
            <w:tcW w:w="1603" w:type="dxa"/>
            <w:shd w:val="clear" w:color="auto" w:fill="auto"/>
          </w:tcPr>
          <w:p w:rsidR="00496A27" w:rsidRPr="006B5E0E" w:rsidRDefault="00496A27" w:rsidP="006B5E0E">
            <w:pPr>
              <w:spacing w:before="100" w:beforeAutospacing="1" w:after="100" w:afterAutospacing="1" w:line="480" w:lineRule="auto"/>
              <w:rPr>
                <w:rFonts w:ascii="Times New Roman" w:hAnsi="Times New Roman"/>
                <w:sz w:val="24"/>
                <w:szCs w:val="24"/>
              </w:rPr>
            </w:pPr>
            <w:r w:rsidRPr="006B5E0E">
              <w:rPr>
                <w:rFonts w:ascii="Times New Roman" w:hAnsi="Times New Roman"/>
                <w:sz w:val="24"/>
                <w:szCs w:val="24"/>
              </w:rPr>
              <w:t>4E Classification</w:t>
            </w:r>
          </w:p>
        </w:tc>
        <w:tc>
          <w:tcPr>
            <w:tcW w:w="2270" w:type="dxa"/>
            <w:shd w:val="clear" w:color="auto" w:fill="auto"/>
          </w:tcPr>
          <w:p w:rsidR="00496A27" w:rsidRPr="006B5E0E" w:rsidRDefault="00496A27" w:rsidP="006B5E0E">
            <w:pPr>
              <w:spacing w:before="100" w:beforeAutospacing="1" w:after="100" w:afterAutospacing="1" w:line="480" w:lineRule="auto"/>
              <w:rPr>
                <w:rFonts w:ascii="Times New Roman" w:hAnsi="Times New Roman"/>
                <w:b/>
                <w:sz w:val="24"/>
                <w:szCs w:val="24"/>
              </w:rPr>
            </w:pPr>
            <w:r w:rsidRPr="006B5E0E">
              <w:rPr>
                <w:rFonts w:ascii="Times New Roman" w:hAnsi="Times New Roman"/>
                <w:b/>
                <w:sz w:val="24"/>
                <w:szCs w:val="24"/>
              </w:rPr>
              <w:t>Nomura</w:t>
            </w:r>
          </w:p>
        </w:tc>
        <w:tc>
          <w:tcPr>
            <w:tcW w:w="2643" w:type="dxa"/>
            <w:shd w:val="clear" w:color="auto" w:fill="auto"/>
          </w:tcPr>
          <w:p w:rsidR="00496A27" w:rsidRPr="006B5E0E" w:rsidRDefault="00496A27" w:rsidP="006B5E0E">
            <w:pPr>
              <w:spacing w:before="100" w:beforeAutospacing="1" w:after="100" w:afterAutospacing="1" w:line="480" w:lineRule="auto"/>
              <w:rPr>
                <w:rFonts w:ascii="Times New Roman" w:hAnsi="Times New Roman"/>
                <w:b/>
                <w:sz w:val="24"/>
                <w:szCs w:val="24"/>
              </w:rPr>
            </w:pPr>
            <w:r w:rsidRPr="006B5E0E">
              <w:rPr>
                <w:rFonts w:ascii="Times New Roman" w:hAnsi="Times New Roman"/>
                <w:b/>
                <w:sz w:val="24"/>
                <w:szCs w:val="24"/>
              </w:rPr>
              <w:t>Coutts</w:t>
            </w:r>
          </w:p>
        </w:tc>
        <w:tc>
          <w:tcPr>
            <w:tcW w:w="2643" w:type="dxa"/>
            <w:shd w:val="clear" w:color="auto" w:fill="auto"/>
          </w:tcPr>
          <w:p w:rsidR="00496A27" w:rsidRPr="006B5E0E" w:rsidRDefault="00496A27" w:rsidP="006B5E0E">
            <w:pPr>
              <w:spacing w:before="100" w:beforeAutospacing="1" w:after="100" w:afterAutospacing="1" w:line="480" w:lineRule="auto"/>
              <w:rPr>
                <w:rFonts w:ascii="Times New Roman" w:hAnsi="Times New Roman"/>
                <w:b/>
                <w:sz w:val="24"/>
                <w:szCs w:val="24"/>
              </w:rPr>
            </w:pPr>
            <w:r w:rsidRPr="006B5E0E">
              <w:rPr>
                <w:rFonts w:ascii="Times New Roman" w:hAnsi="Times New Roman"/>
                <w:b/>
                <w:sz w:val="24"/>
                <w:szCs w:val="24"/>
              </w:rPr>
              <w:t>Boston Consulting Group</w:t>
            </w:r>
          </w:p>
        </w:tc>
      </w:tr>
      <w:tr w:rsidR="00496A27" w:rsidRPr="006B5E0E" w:rsidTr="00773316">
        <w:tc>
          <w:tcPr>
            <w:tcW w:w="1536" w:type="dxa"/>
          </w:tcPr>
          <w:p w:rsidR="00496A27" w:rsidRPr="006B5E0E" w:rsidRDefault="00496A27" w:rsidP="006B5E0E">
            <w:pPr>
              <w:spacing w:before="100" w:beforeAutospacing="1" w:after="100" w:afterAutospacing="1" w:line="480" w:lineRule="auto"/>
              <w:rPr>
                <w:rFonts w:ascii="Times New Roman" w:hAnsi="Times New Roman"/>
                <w:i/>
                <w:sz w:val="24"/>
                <w:szCs w:val="24"/>
              </w:rPr>
            </w:pPr>
            <w:r w:rsidRPr="006B5E0E">
              <w:rPr>
                <w:rFonts w:ascii="Times New Roman" w:hAnsi="Times New Roman"/>
                <w:i/>
                <w:sz w:val="24"/>
                <w:szCs w:val="24"/>
              </w:rPr>
              <w:t>Old Money</w:t>
            </w:r>
          </w:p>
        </w:tc>
        <w:tc>
          <w:tcPr>
            <w:tcW w:w="1603" w:type="dxa"/>
            <w:shd w:val="clear" w:color="auto" w:fill="auto"/>
          </w:tcPr>
          <w:p w:rsidR="00496A27" w:rsidRPr="006B5E0E" w:rsidRDefault="00496A27" w:rsidP="006B5E0E">
            <w:pPr>
              <w:spacing w:before="100" w:beforeAutospacing="1" w:after="100" w:afterAutospacing="1" w:line="480" w:lineRule="auto"/>
              <w:rPr>
                <w:rFonts w:ascii="Times New Roman" w:hAnsi="Times New Roman"/>
                <w:i/>
                <w:sz w:val="24"/>
                <w:szCs w:val="24"/>
              </w:rPr>
            </w:pPr>
            <w:r w:rsidRPr="006B5E0E">
              <w:rPr>
                <w:rFonts w:ascii="Times New Roman" w:hAnsi="Times New Roman"/>
                <w:i/>
                <w:sz w:val="24"/>
                <w:szCs w:val="24"/>
              </w:rPr>
              <w:t>Endowed</w:t>
            </w:r>
          </w:p>
        </w:tc>
        <w:tc>
          <w:tcPr>
            <w:tcW w:w="2270" w:type="dxa"/>
            <w:shd w:val="clear" w:color="auto" w:fill="auto"/>
          </w:tcPr>
          <w:p w:rsidR="00496A27" w:rsidRPr="006B5E0E" w:rsidRDefault="00496A27" w:rsidP="006B5E0E">
            <w:pPr>
              <w:numPr>
                <w:ilvl w:val="0"/>
                <w:numId w:val="9"/>
              </w:numPr>
              <w:spacing w:before="100" w:beforeAutospacing="1" w:after="100" w:afterAutospacing="1" w:line="480" w:lineRule="auto"/>
              <w:rPr>
                <w:rFonts w:ascii="Times New Roman" w:hAnsi="Times New Roman"/>
                <w:sz w:val="24"/>
                <w:szCs w:val="24"/>
              </w:rPr>
            </w:pPr>
            <w:r w:rsidRPr="006B5E0E">
              <w:rPr>
                <w:rFonts w:ascii="Times New Roman" w:hAnsi="Times New Roman"/>
                <w:sz w:val="24"/>
                <w:szCs w:val="24"/>
              </w:rPr>
              <w:t>Born Rich</w:t>
            </w:r>
          </w:p>
        </w:tc>
        <w:tc>
          <w:tcPr>
            <w:tcW w:w="2643" w:type="dxa"/>
            <w:shd w:val="clear" w:color="auto" w:fill="auto"/>
          </w:tcPr>
          <w:p w:rsidR="00496A27" w:rsidRPr="006B5E0E" w:rsidRDefault="00496A27" w:rsidP="006B5E0E">
            <w:pPr>
              <w:numPr>
                <w:ilvl w:val="0"/>
                <w:numId w:val="9"/>
              </w:numPr>
              <w:spacing w:before="100" w:beforeAutospacing="1" w:after="100" w:afterAutospacing="1" w:line="480" w:lineRule="auto"/>
              <w:rPr>
                <w:rFonts w:ascii="Times New Roman" w:hAnsi="Times New Roman"/>
                <w:sz w:val="24"/>
                <w:szCs w:val="24"/>
              </w:rPr>
            </w:pPr>
            <w:r w:rsidRPr="006B5E0E">
              <w:rPr>
                <w:rFonts w:ascii="Times New Roman" w:hAnsi="Times New Roman"/>
                <w:sz w:val="24"/>
                <w:szCs w:val="24"/>
              </w:rPr>
              <w:t>Landowners (if inheritance)</w:t>
            </w:r>
          </w:p>
          <w:p w:rsidR="00496A27" w:rsidRPr="006B5E0E" w:rsidRDefault="00496A27" w:rsidP="006B5E0E">
            <w:pPr>
              <w:numPr>
                <w:ilvl w:val="0"/>
                <w:numId w:val="9"/>
              </w:numPr>
              <w:spacing w:before="100" w:beforeAutospacing="1" w:after="100" w:afterAutospacing="1" w:line="480" w:lineRule="auto"/>
              <w:rPr>
                <w:rFonts w:ascii="Times New Roman" w:hAnsi="Times New Roman"/>
                <w:sz w:val="24"/>
                <w:szCs w:val="24"/>
              </w:rPr>
            </w:pPr>
            <w:r w:rsidRPr="006B5E0E">
              <w:rPr>
                <w:rFonts w:ascii="Times New Roman" w:hAnsi="Times New Roman"/>
                <w:sz w:val="24"/>
                <w:szCs w:val="24"/>
              </w:rPr>
              <w:t>Private office</w:t>
            </w:r>
          </w:p>
        </w:tc>
        <w:tc>
          <w:tcPr>
            <w:tcW w:w="2643" w:type="dxa"/>
            <w:shd w:val="clear" w:color="auto" w:fill="auto"/>
          </w:tcPr>
          <w:p w:rsidR="00496A27" w:rsidRPr="006B5E0E" w:rsidRDefault="00496A27" w:rsidP="006B5E0E">
            <w:pPr>
              <w:spacing w:before="100" w:beforeAutospacing="1" w:after="100" w:afterAutospacing="1" w:line="480" w:lineRule="auto"/>
              <w:ind w:left="720"/>
              <w:rPr>
                <w:rFonts w:ascii="Times New Roman" w:hAnsi="Times New Roman"/>
                <w:sz w:val="24"/>
                <w:szCs w:val="24"/>
              </w:rPr>
            </w:pPr>
          </w:p>
        </w:tc>
      </w:tr>
      <w:tr w:rsidR="00496A27" w:rsidRPr="006B5E0E" w:rsidTr="00773316">
        <w:tc>
          <w:tcPr>
            <w:tcW w:w="1536" w:type="dxa"/>
            <w:vMerge w:val="restart"/>
          </w:tcPr>
          <w:p w:rsidR="00496A27" w:rsidRPr="006B5E0E" w:rsidRDefault="00496A27" w:rsidP="006B5E0E">
            <w:pPr>
              <w:spacing w:before="100" w:beforeAutospacing="1" w:after="100" w:afterAutospacing="1" w:line="480" w:lineRule="auto"/>
              <w:rPr>
                <w:rFonts w:ascii="Times New Roman" w:hAnsi="Times New Roman"/>
                <w:i/>
                <w:sz w:val="24"/>
                <w:szCs w:val="24"/>
              </w:rPr>
            </w:pPr>
            <w:r w:rsidRPr="006B5E0E">
              <w:rPr>
                <w:rFonts w:ascii="Times New Roman" w:hAnsi="Times New Roman"/>
                <w:i/>
                <w:sz w:val="24"/>
                <w:szCs w:val="24"/>
              </w:rPr>
              <w:t>New Money</w:t>
            </w:r>
          </w:p>
        </w:tc>
        <w:tc>
          <w:tcPr>
            <w:tcW w:w="1603" w:type="dxa"/>
            <w:shd w:val="clear" w:color="auto" w:fill="auto"/>
          </w:tcPr>
          <w:p w:rsidR="00496A27" w:rsidRPr="006B5E0E" w:rsidRDefault="00496A27" w:rsidP="006B5E0E">
            <w:pPr>
              <w:spacing w:before="100" w:beforeAutospacing="1" w:after="100" w:afterAutospacing="1" w:line="480" w:lineRule="auto"/>
              <w:rPr>
                <w:rFonts w:ascii="Times New Roman" w:hAnsi="Times New Roman"/>
                <w:i/>
                <w:sz w:val="24"/>
                <w:szCs w:val="24"/>
              </w:rPr>
            </w:pPr>
            <w:r w:rsidRPr="006B5E0E">
              <w:rPr>
                <w:rFonts w:ascii="Times New Roman" w:hAnsi="Times New Roman"/>
                <w:i/>
                <w:sz w:val="24"/>
                <w:szCs w:val="24"/>
              </w:rPr>
              <w:t>Entertainers</w:t>
            </w:r>
          </w:p>
        </w:tc>
        <w:tc>
          <w:tcPr>
            <w:tcW w:w="2270" w:type="dxa"/>
            <w:shd w:val="clear" w:color="auto" w:fill="auto"/>
          </w:tcPr>
          <w:p w:rsidR="00496A27" w:rsidRPr="006B5E0E" w:rsidRDefault="00496A27" w:rsidP="006B5E0E">
            <w:pPr>
              <w:spacing w:before="100" w:beforeAutospacing="1" w:after="100" w:afterAutospacing="1" w:line="480" w:lineRule="auto"/>
              <w:ind w:left="720"/>
              <w:rPr>
                <w:rFonts w:ascii="Times New Roman" w:hAnsi="Times New Roman"/>
                <w:sz w:val="24"/>
                <w:szCs w:val="24"/>
              </w:rPr>
            </w:pPr>
          </w:p>
        </w:tc>
        <w:tc>
          <w:tcPr>
            <w:tcW w:w="2643" w:type="dxa"/>
            <w:shd w:val="clear" w:color="auto" w:fill="auto"/>
          </w:tcPr>
          <w:p w:rsidR="00496A27" w:rsidRPr="006B5E0E" w:rsidRDefault="00496A27" w:rsidP="006B5E0E">
            <w:pPr>
              <w:numPr>
                <w:ilvl w:val="0"/>
                <w:numId w:val="9"/>
              </w:numPr>
              <w:spacing w:before="100" w:beforeAutospacing="1" w:after="100" w:afterAutospacing="1" w:line="480" w:lineRule="auto"/>
              <w:rPr>
                <w:rFonts w:ascii="Times New Roman" w:hAnsi="Times New Roman"/>
                <w:sz w:val="24"/>
                <w:szCs w:val="24"/>
              </w:rPr>
            </w:pPr>
            <w:r w:rsidRPr="006B5E0E">
              <w:rPr>
                <w:rFonts w:ascii="Times New Roman" w:hAnsi="Times New Roman"/>
                <w:sz w:val="24"/>
                <w:szCs w:val="24"/>
              </w:rPr>
              <w:t>Sports and Entertainment</w:t>
            </w:r>
          </w:p>
        </w:tc>
        <w:tc>
          <w:tcPr>
            <w:tcW w:w="2643" w:type="dxa"/>
            <w:shd w:val="clear" w:color="auto" w:fill="auto"/>
          </w:tcPr>
          <w:p w:rsidR="00496A27" w:rsidRPr="006B5E0E" w:rsidRDefault="00496A27" w:rsidP="006B5E0E">
            <w:pPr>
              <w:spacing w:before="100" w:beforeAutospacing="1" w:after="100" w:afterAutospacing="1" w:line="480" w:lineRule="auto"/>
              <w:ind w:left="720"/>
              <w:rPr>
                <w:rFonts w:ascii="Times New Roman" w:hAnsi="Times New Roman"/>
                <w:sz w:val="24"/>
                <w:szCs w:val="24"/>
              </w:rPr>
            </w:pPr>
          </w:p>
        </w:tc>
      </w:tr>
      <w:tr w:rsidR="00496A27" w:rsidRPr="006B5E0E" w:rsidTr="00773316">
        <w:tc>
          <w:tcPr>
            <w:tcW w:w="1536" w:type="dxa"/>
            <w:vMerge/>
          </w:tcPr>
          <w:p w:rsidR="00496A27" w:rsidRPr="006B5E0E" w:rsidRDefault="00496A27" w:rsidP="006B5E0E">
            <w:pPr>
              <w:spacing w:before="100" w:beforeAutospacing="1" w:after="100" w:afterAutospacing="1" w:line="480" w:lineRule="auto"/>
              <w:rPr>
                <w:rFonts w:ascii="Times New Roman" w:hAnsi="Times New Roman"/>
                <w:i/>
                <w:sz w:val="24"/>
                <w:szCs w:val="24"/>
              </w:rPr>
            </w:pPr>
          </w:p>
        </w:tc>
        <w:tc>
          <w:tcPr>
            <w:tcW w:w="1603" w:type="dxa"/>
            <w:shd w:val="clear" w:color="auto" w:fill="auto"/>
          </w:tcPr>
          <w:p w:rsidR="00496A27" w:rsidRPr="006B5E0E" w:rsidRDefault="00496A27" w:rsidP="006B5E0E">
            <w:pPr>
              <w:spacing w:before="100" w:beforeAutospacing="1" w:after="100" w:afterAutospacing="1" w:line="480" w:lineRule="auto"/>
              <w:rPr>
                <w:rFonts w:ascii="Times New Roman" w:hAnsi="Times New Roman"/>
                <w:i/>
                <w:sz w:val="24"/>
                <w:szCs w:val="24"/>
              </w:rPr>
            </w:pPr>
            <w:r w:rsidRPr="006B5E0E">
              <w:rPr>
                <w:rFonts w:ascii="Times New Roman" w:hAnsi="Times New Roman"/>
                <w:i/>
                <w:sz w:val="24"/>
                <w:szCs w:val="24"/>
              </w:rPr>
              <w:t>Executives</w:t>
            </w:r>
          </w:p>
        </w:tc>
        <w:tc>
          <w:tcPr>
            <w:tcW w:w="2270" w:type="dxa"/>
            <w:shd w:val="clear" w:color="auto" w:fill="auto"/>
          </w:tcPr>
          <w:p w:rsidR="00496A27" w:rsidRPr="006B5E0E" w:rsidRDefault="00496A27" w:rsidP="006B5E0E">
            <w:pPr>
              <w:numPr>
                <w:ilvl w:val="0"/>
                <w:numId w:val="9"/>
              </w:numPr>
              <w:spacing w:before="100" w:beforeAutospacing="1" w:after="100" w:afterAutospacing="1" w:line="480" w:lineRule="auto"/>
              <w:rPr>
                <w:rFonts w:ascii="Times New Roman" w:hAnsi="Times New Roman"/>
                <w:sz w:val="24"/>
                <w:szCs w:val="24"/>
              </w:rPr>
            </w:pPr>
            <w:r w:rsidRPr="006B5E0E">
              <w:rPr>
                <w:rFonts w:ascii="Times New Roman" w:hAnsi="Times New Roman"/>
                <w:sz w:val="24"/>
                <w:szCs w:val="24"/>
              </w:rPr>
              <w:t>Hard-workers, Overnight Wealth (if wealth from retirement)</w:t>
            </w:r>
          </w:p>
        </w:tc>
        <w:tc>
          <w:tcPr>
            <w:tcW w:w="2643" w:type="dxa"/>
            <w:shd w:val="clear" w:color="auto" w:fill="auto"/>
          </w:tcPr>
          <w:p w:rsidR="00496A27" w:rsidRPr="006B5E0E" w:rsidRDefault="00496A27" w:rsidP="006B5E0E">
            <w:pPr>
              <w:numPr>
                <w:ilvl w:val="0"/>
                <w:numId w:val="9"/>
              </w:numPr>
              <w:spacing w:before="100" w:beforeAutospacing="1" w:after="100" w:afterAutospacing="1" w:line="480" w:lineRule="auto"/>
              <w:rPr>
                <w:rFonts w:ascii="Times New Roman" w:hAnsi="Times New Roman"/>
                <w:sz w:val="24"/>
                <w:szCs w:val="24"/>
              </w:rPr>
            </w:pPr>
            <w:r w:rsidRPr="006B5E0E">
              <w:rPr>
                <w:rFonts w:ascii="Times New Roman" w:hAnsi="Times New Roman"/>
                <w:sz w:val="24"/>
                <w:szCs w:val="24"/>
              </w:rPr>
              <w:t>Executives</w:t>
            </w:r>
          </w:p>
          <w:p w:rsidR="00496A27" w:rsidRPr="006B5E0E" w:rsidRDefault="00496A27" w:rsidP="006B5E0E">
            <w:pPr>
              <w:numPr>
                <w:ilvl w:val="0"/>
                <w:numId w:val="9"/>
              </w:numPr>
              <w:spacing w:before="100" w:beforeAutospacing="1" w:after="100" w:afterAutospacing="1" w:line="480" w:lineRule="auto"/>
              <w:rPr>
                <w:rFonts w:ascii="Times New Roman" w:hAnsi="Times New Roman"/>
                <w:sz w:val="24"/>
                <w:szCs w:val="24"/>
              </w:rPr>
            </w:pPr>
            <w:r w:rsidRPr="006B5E0E">
              <w:rPr>
                <w:rFonts w:ascii="Times New Roman" w:hAnsi="Times New Roman"/>
                <w:sz w:val="24"/>
                <w:szCs w:val="24"/>
              </w:rPr>
              <w:t>International</w:t>
            </w:r>
          </w:p>
          <w:p w:rsidR="00496A27" w:rsidRPr="006B5E0E" w:rsidRDefault="00496A27" w:rsidP="006B5E0E">
            <w:pPr>
              <w:numPr>
                <w:ilvl w:val="0"/>
                <w:numId w:val="9"/>
              </w:numPr>
              <w:spacing w:before="100" w:beforeAutospacing="1" w:after="100" w:afterAutospacing="1" w:line="480" w:lineRule="auto"/>
              <w:rPr>
                <w:rFonts w:ascii="Times New Roman" w:hAnsi="Times New Roman"/>
                <w:sz w:val="24"/>
                <w:szCs w:val="24"/>
              </w:rPr>
            </w:pPr>
            <w:r w:rsidRPr="006B5E0E">
              <w:rPr>
                <w:rFonts w:ascii="Times New Roman" w:hAnsi="Times New Roman"/>
                <w:sz w:val="24"/>
                <w:szCs w:val="24"/>
              </w:rPr>
              <w:t>Professionals (if employed by organizations)</w:t>
            </w:r>
          </w:p>
        </w:tc>
        <w:tc>
          <w:tcPr>
            <w:tcW w:w="2643" w:type="dxa"/>
            <w:shd w:val="clear" w:color="auto" w:fill="auto"/>
          </w:tcPr>
          <w:p w:rsidR="00496A27" w:rsidRPr="006B5E0E" w:rsidRDefault="00496A27" w:rsidP="006B5E0E">
            <w:pPr>
              <w:numPr>
                <w:ilvl w:val="0"/>
                <w:numId w:val="9"/>
              </w:numPr>
              <w:spacing w:before="100" w:beforeAutospacing="1" w:after="100" w:afterAutospacing="1" w:line="480" w:lineRule="auto"/>
              <w:rPr>
                <w:rFonts w:ascii="Times New Roman" w:hAnsi="Times New Roman"/>
                <w:sz w:val="24"/>
                <w:szCs w:val="24"/>
              </w:rPr>
            </w:pPr>
            <w:r w:rsidRPr="006B5E0E">
              <w:rPr>
                <w:rFonts w:ascii="Times New Roman" w:hAnsi="Times New Roman"/>
                <w:sz w:val="24"/>
                <w:szCs w:val="24"/>
              </w:rPr>
              <w:t>Professional managers</w:t>
            </w:r>
          </w:p>
          <w:p w:rsidR="00496A27" w:rsidRPr="006B5E0E" w:rsidRDefault="00496A27" w:rsidP="006B5E0E">
            <w:pPr>
              <w:numPr>
                <w:ilvl w:val="0"/>
                <w:numId w:val="9"/>
              </w:numPr>
              <w:spacing w:before="100" w:beforeAutospacing="1" w:after="100" w:afterAutospacing="1" w:line="480" w:lineRule="auto"/>
              <w:rPr>
                <w:rFonts w:ascii="Times New Roman" w:hAnsi="Times New Roman"/>
                <w:sz w:val="24"/>
                <w:szCs w:val="24"/>
              </w:rPr>
            </w:pPr>
            <w:r w:rsidRPr="006B5E0E">
              <w:rPr>
                <w:rFonts w:ascii="Times New Roman" w:hAnsi="Times New Roman"/>
                <w:sz w:val="24"/>
                <w:szCs w:val="24"/>
              </w:rPr>
              <w:t>Other Professionals</w:t>
            </w:r>
          </w:p>
        </w:tc>
      </w:tr>
      <w:tr w:rsidR="00496A27" w:rsidRPr="006B5E0E" w:rsidTr="00773316">
        <w:tc>
          <w:tcPr>
            <w:tcW w:w="1536" w:type="dxa"/>
            <w:vMerge/>
          </w:tcPr>
          <w:p w:rsidR="00496A27" w:rsidRPr="006B5E0E" w:rsidRDefault="00496A27" w:rsidP="006B5E0E">
            <w:pPr>
              <w:spacing w:before="100" w:beforeAutospacing="1" w:after="100" w:afterAutospacing="1" w:line="480" w:lineRule="auto"/>
              <w:rPr>
                <w:rFonts w:ascii="Times New Roman" w:hAnsi="Times New Roman"/>
                <w:i/>
                <w:sz w:val="24"/>
                <w:szCs w:val="24"/>
              </w:rPr>
            </w:pPr>
          </w:p>
        </w:tc>
        <w:tc>
          <w:tcPr>
            <w:tcW w:w="1603" w:type="dxa"/>
            <w:shd w:val="clear" w:color="auto" w:fill="auto"/>
          </w:tcPr>
          <w:p w:rsidR="00496A27" w:rsidRPr="006B5E0E" w:rsidRDefault="00496A27" w:rsidP="006B5E0E">
            <w:pPr>
              <w:spacing w:before="100" w:beforeAutospacing="1" w:after="100" w:afterAutospacing="1" w:line="480" w:lineRule="auto"/>
              <w:rPr>
                <w:rFonts w:ascii="Times New Roman" w:hAnsi="Times New Roman"/>
                <w:i/>
                <w:sz w:val="24"/>
                <w:szCs w:val="24"/>
              </w:rPr>
            </w:pPr>
            <w:r w:rsidRPr="006B5E0E">
              <w:rPr>
                <w:rFonts w:ascii="Times New Roman" w:hAnsi="Times New Roman"/>
                <w:i/>
                <w:sz w:val="24"/>
                <w:szCs w:val="24"/>
              </w:rPr>
              <w:t>Entrepreneurs</w:t>
            </w:r>
          </w:p>
        </w:tc>
        <w:tc>
          <w:tcPr>
            <w:tcW w:w="2270" w:type="dxa"/>
            <w:shd w:val="clear" w:color="auto" w:fill="auto"/>
          </w:tcPr>
          <w:p w:rsidR="00496A27" w:rsidRPr="006B5E0E" w:rsidRDefault="00496A27" w:rsidP="006B5E0E">
            <w:pPr>
              <w:numPr>
                <w:ilvl w:val="0"/>
                <w:numId w:val="9"/>
              </w:numPr>
              <w:spacing w:before="100" w:beforeAutospacing="1" w:after="100" w:afterAutospacing="1" w:line="480" w:lineRule="auto"/>
              <w:rPr>
                <w:rFonts w:ascii="Times New Roman" w:hAnsi="Times New Roman"/>
                <w:sz w:val="24"/>
                <w:szCs w:val="24"/>
              </w:rPr>
            </w:pPr>
            <w:r w:rsidRPr="006B5E0E">
              <w:rPr>
                <w:rFonts w:ascii="Times New Roman" w:hAnsi="Times New Roman"/>
                <w:sz w:val="24"/>
                <w:szCs w:val="24"/>
              </w:rPr>
              <w:t>Overnight Wealth (if wealth from IPO)</w:t>
            </w:r>
          </w:p>
        </w:tc>
        <w:tc>
          <w:tcPr>
            <w:tcW w:w="2643" w:type="dxa"/>
            <w:shd w:val="clear" w:color="auto" w:fill="auto"/>
          </w:tcPr>
          <w:p w:rsidR="00496A27" w:rsidRPr="006B5E0E" w:rsidRDefault="00496A27" w:rsidP="006B5E0E">
            <w:pPr>
              <w:numPr>
                <w:ilvl w:val="0"/>
                <w:numId w:val="9"/>
              </w:numPr>
              <w:spacing w:before="100" w:beforeAutospacing="1" w:after="100" w:afterAutospacing="1" w:line="480" w:lineRule="auto"/>
              <w:rPr>
                <w:rFonts w:ascii="Times New Roman" w:hAnsi="Times New Roman"/>
                <w:sz w:val="24"/>
                <w:szCs w:val="24"/>
              </w:rPr>
            </w:pPr>
            <w:r w:rsidRPr="006B5E0E">
              <w:rPr>
                <w:rFonts w:ascii="Times New Roman" w:hAnsi="Times New Roman"/>
                <w:sz w:val="24"/>
                <w:szCs w:val="24"/>
              </w:rPr>
              <w:t>Entrepreneurs</w:t>
            </w:r>
          </w:p>
          <w:p w:rsidR="00496A27" w:rsidRPr="006B5E0E" w:rsidRDefault="00496A27" w:rsidP="006B5E0E">
            <w:pPr>
              <w:numPr>
                <w:ilvl w:val="0"/>
                <w:numId w:val="9"/>
              </w:numPr>
              <w:spacing w:before="100" w:beforeAutospacing="1" w:after="100" w:afterAutospacing="1" w:line="480" w:lineRule="auto"/>
              <w:rPr>
                <w:rFonts w:ascii="Times New Roman" w:hAnsi="Times New Roman"/>
                <w:sz w:val="24"/>
                <w:szCs w:val="24"/>
              </w:rPr>
            </w:pPr>
            <w:r w:rsidRPr="006B5E0E">
              <w:rPr>
                <w:rFonts w:ascii="Times New Roman" w:hAnsi="Times New Roman"/>
                <w:sz w:val="24"/>
                <w:szCs w:val="24"/>
              </w:rPr>
              <w:t>Landowners (if recent acquire land)</w:t>
            </w:r>
          </w:p>
          <w:p w:rsidR="00496A27" w:rsidRPr="006B5E0E" w:rsidRDefault="00496A27" w:rsidP="006B5E0E">
            <w:pPr>
              <w:numPr>
                <w:ilvl w:val="0"/>
                <w:numId w:val="9"/>
              </w:numPr>
              <w:spacing w:before="100" w:beforeAutospacing="1" w:after="100" w:afterAutospacing="1" w:line="480" w:lineRule="auto"/>
              <w:rPr>
                <w:rFonts w:ascii="Times New Roman" w:hAnsi="Times New Roman"/>
                <w:sz w:val="24"/>
                <w:szCs w:val="24"/>
              </w:rPr>
            </w:pPr>
            <w:r w:rsidRPr="006B5E0E">
              <w:rPr>
                <w:rFonts w:ascii="Times New Roman" w:hAnsi="Times New Roman"/>
                <w:sz w:val="24"/>
                <w:szCs w:val="24"/>
              </w:rPr>
              <w:t>Professionals (if run own operation)</w:t>
            </w:r>
          </w:p>
        </w:tc>
        <w:tc>
          <w:tcPr>
            <w:tcW w:w="2643" w:type="dxa"/>
            <w:shd w:val="clear" w:color="auto" w:fill="auto"/>
          </w:tcPr>
          <w:p w:rsidR="00496A27" w:rsidRPr="006B5E0E" w:rsidRDefault="00496A27" w:rsidP="006B5E0E">
            <w:pPr>
              <w:numPr>
                <w:ilvl w:val="0"/>
                <w:numId w:val="9"/>
              </w:numPr>
              <w:spacing w:before="100" w:beforeAutospacing="1" w:after="100" w:afterAutospacing="1" w:line="480" w:lineRule="auto"/>
              <w:rPr>
                <w:rFonts w:ascii="Times New Roman" w:hAnsi="Times New Roman"/>
                <w:sz w:val="24"/>
                <w:szCs w:val="24"/>
              </w:rPr>
            </w:pPr>
            <w:r w:rsidRPr="006B5E0E">
              <w:rPr>
                <w:rFonts w:ascii="Times New Roman" w:hAnsi="Times New Roman"/>
                <w:sz w:val="24"/>
                <w:szCs w:val="24"/>
              </w:rPr>
              <w:t>Entrepreneurs</w:t>
            </w:r>
          </w:p>
          <w:p w:rsidR="00496A27" w:rsidRPr="006B5E0E" w:rsidRDefault="00496A27" w:rsidP="006B5E0E">
            <w:pPr>
              <w:numPr>
                <w:ilvl w:val="0"/>
                <w:numId w:val="9"/>
              </w:numPr>
              <w:spacing w:before="100" w:beforeAutospacing="1" w:after="100" w:afterAutospacing="1" w:line="480" w:lineRule="auto"/>
              <w:rPr>
                <w:rFonts w:ascii="Times New Roman" w:hAnsi="Times New Roman"/>
                <w:sz w:val="24"/>
                <w:szCs w:val="24"/>
              </w:rPr>
            </w:pPr>
            <w:r w:rsidRPr="006B5E0E">
              <w:rPr>
                <w:rFonts w:ascii="Times New Roman" w:hAnsi="Times New Roman"/>
                <w:sz w:val="24"/>
                <w:szCs w:val="24"/>
              </w:rPr>
              <w:t>Investment professionals</w:t>
            </w:r>
          </w:p>
        </w:tc>
      </w:tr>
    </w:tbl>
    <w:p w:rsidR="00496A27" w:rsidRPr="006B5E0E" w:rsidRDefault="00496A27" w:rsidP="006B5E0E">
      <w:pPr>
        <w:spacing w:before="100" w:beforeAutospacing="1" w:after="100" w:afterAutospacing="1" w:line="480" w:lineRule="auto"/>
        <w:rPr>
          <w:rFonts w:ascii="Times New Roman" w:eastAsia="Times New Roman" w:hAnsi="Times New Roman"/>
          <w:sz w:val="24"/>
          <w:szCs w:val="24"/>
        </w:rPr>
      </w:pPr>
      <w:r w:rsidRPr="006B5E0E">
        <w:rPr>
          <w:rFonts w:ascii="Times New Roman" w:hAnsi="Times New Roman"/>
          <w:sz w:val="24"/>
          <w:szCs w:val="24"/>
        </w:rPr>
        <w:br w:type="page"/>
      </w:r>
      <w:r w:rsidRPr="006B5E0E">
        <w:rPr>
          <w:rFonts w:ascii="Times New Roman" w:eastAsia="Times New Roman" w:hAnsi="Times New Roman"/>
          <w:sz w:val="24"/>
          <w:szCs w:val="24"/>
          <w:lang w:eastAsia="en-US"/>
        </w:rPr>
        <w:lastRenderedPageBreak/>
        <w:t>Table 2: Summary of Behavioral Characteristics of HNW Clients</w:t>
      </w:r>
    </w:p>
    <w:tbl>
      <w:tblPr>
        <w:tblW w:w="5000" w:type="pct"/>
        <w:tblLook w:val="04A0"/>
      </w:tblPr>
      <w:tblGrid>
        <w:gridCol w:w="8856"/>
      </w:tblGrid>
      <w:tr w:rsidR="00496A27" w:rsidRPr="006B5E0E" w:rsidTr="00977949">
        <w:trPr>
          <w:trHeight w:val="255"/>
        </w:trPr>
        <w:tc>
          <w:tcPr>
            <w:tcW w:w="5000" w:type="pct"/>
            <w:tcBorders>
              <w:top w:val="thinThickSmallGap" w:sz="24" w:space="0" w:color="auto"/>
            </w:tcBorders>
            <w:shd w:val="clear" w:color="auto" w:fill="auto"/>
            <w:vAlign w:val="center"/>
          </w:tcPr>
          <w:p w:rsidR="00496A27" w:rsidRPr="006B5E0E" w:rsidRDefault="00496A27" w:rsidP="006B5E0E">
            <w:pPr>
              <w:spacing w:after="0" w:line="480" w:lineRule="auto"/>
              <w:rPr>
                <w:rFonts w:ascii="Times New Roman" w:eastAsia="Times New Roman" w:hAnsi="Times New Roman"/>
                <w:b/>
                <w:bCs/>
                <w:sz w:val="24"/>
                <w:szCs w:val="24"/>
                <w:lang w:eastAsia="en-US"/>
              </w:rPr>
            </w:pPr>
            <w:r w:rsidRPr="006B5E0E">
              <w:rPr>
                <w:rFonts w:ascii="Times New Roman" w:eastAsia="Times New Roman" w:hAnsi="Times New Roman"/>
                <w:b/>
                <w:bCs/>
                <w:sz w:val="24"/>
                <w:szCs w:val="24"/>
                <w:lang w:eastAsia="en-US"/>
              </w:rPr>
              <w:t xml:space="preserve">1.  Network Relationship: Preference for Confidentiality and Privacy versus Network    </w:t>
            </w:r>
          </w:p>
        </w:tc>
      </w:tr>
      <w:tr w:rsidR="00496A27" w:rsidRPr="006B5E0E" w:rsidTr="00977949">
        <w:trPr>
          <w:trHeight w:val="255"/>
        </w:trPr>
        <w:tc>
          <w:tcPr>
            <w:tcW w:w="5000" w:type="pct"/>
            <w:shd w:val="clear" w:color="auto" w:fill="auto"/>
            <w:vAlign w:val="center"/>
          </w:tcPr>
          <w:p w:rsidR="00496A27" w:rsidRPr="006B5E0E" w:rsidRDefault="00496A27" w:rsidP="006B5E0E">
            <w:pPr>
              <w:spacing w:after="0" w:line="480" w:lineRule="auto"/>
              <w:rPr>
                <w:rFonts w:ascii="Times New Roman" w:eastAsia="Times New Roman" w:hAnsi="Times New Roman"/>
                <w:b/>
                <w:bCs/>
                <w:sz w:val="24"/>
                <w:szCs w:val="24"/>
                <w:lang w:eastAsia="en-US"/>
              </w:rPr>
            </w:pPr>
            <w:r w:rsidRPr="006B5E0E">
              <w:rPr>
                <w:rFonts w:ascii="Times New Roman" w:eastAsia="Times New Roman" w:hAnsi="Times New Roman"/>
                <w:b/>
                <w:bCs/>
                <w:sz w:val="24"/>
                <w:szCs w:val="24"/>
                <w:lang w:eastAsia="en-US"/>
              </w:rPr>
              <w:t>2.  Legacy Relationship: Preference for Intergenerational versus Societal Legacy Building</w:t>
            </w:r>
          </w:p>
        </w:tc>
      </w:tr>
      <w:tr w:rsidR="00496A27" w:rsidRPr="006B5E0E" w:rsidTr="00977949">
        <w:trPr>
          <w:trHeight w:val="255"/>
        </w:trPr>
        <w:tc>
          <w:tcPr>
            <w:tcW w:w="5000" w:type="pct"/>
            <w:shd w:val="clear" w:color="auto" w:fill="auto"/>
            <w:vAlign w:val="center"/>
          </w:tcPr>
          <w:p w:rsidR="00496A27" w:rsidRPr="006B5E0E" w:rsidRDefault="00496A27" w:rsidP="008F6432">
            <w:pPr>
              <w:spacing w:after="0" w:line="480" w:lineRule="auto"/>
              <w:ind w:left="279" w:hangingChars="116" w:hanging="279"/>
              <w:rPr>
                <w:rFonts w:ascii="Times New Roman" w:eastAsia="Times New Roman" w:hAnsi="Times New Roman"/>
                <w:b/>
                <w:bCs/>
                <w:sz w:val="24"/>
                <w:szCs w:val="24"/>
                <w:lang w:eastAsia="en-US"/>
              </w:rPr>
            </w:pPr>
            <w:r w:rsidRPr="006B5E0E">
              <w:rPr>
                <w:rFonts w:ascii="Times New Roman" w:eastAsia="Times New Roman" w:hAnsi="Times New Roman"/>
                <w:b/>
                <w:bCs/>
                <w:sz w:val="24"/>
                <w:szCs w:val="24"/>
                <w:lang w:eastAsia="en-US"/>
              </w:rPr>
              <w:t xml:space="preserve">3.  Investment (participation) Style: Preference towards Discretionary versus Active Management </w:t>
            </w:r>
          </w:p>
        </w:tc>
      </w:tr>
      <w:tr w:rsidR="00496A27" w:rsidRPr="006B5E0E" w:rsidTr="00977949">
        <w:trPr>
          <w:trHeight w:val="255"/>
        </w:trPr>
        <w:tc>
          <w:tcPr>
            <w:tcW w:w="5000" w:type="pct"/>
            <w:shd w:val="clear" w:color="auto" w:fill="auto"/>
            <w:vAlign w:val="center"/>
          </w:tcPr>
          <w:p w:rsidR="00496A27" w:rsidRPr="006B5E0E" w:rsidRDefault="00496A27" w:rsidP="006B5E0E">
            <w:pPr>
              <w:spacing w:after="0" w:line="480" w:lineRule="auto"/>
              <w:rPr>
                <w:rFonts w:ascii="Times New Roman" w:eastAsia="Times New Roman" w:hAnsi="Times New Roman"/>
                <w:b/>
                <w:bCs/>
                <w:sz w:val="24"/>
                <w:szCs w:val="24"/>
                <w:lang w:eastAsia="en-US"/>
              </w:rPr>
            </w:pPr>
            <w:r w:rsidRPr="006B5E0E">
              <w:rPr>
                <w:rFonts w:ascii="Times New Roman" w:eastAsia="Times New Roman" w:hAnsi="Times New Roman"/>
                <w:b/>
                <w:bCs/>
                <w:sz w:val="24"/>
                <w:szCs w:val="24"/>
                <w:lang w:eastAsia="en-US"/>
              </w:rPr>
              <w:t xml:space="preserve">4.  Compensation Type: Preference towards Commission versus % of AUM </w:t>
            </w:r>
          </w:p>
        </w:tc>
      </w:tr>
      <w:tr w:rsidR="00496A27" w:rsidRPr="006B5E0E" w:rsidTr="00977949">
        <w:trPr>
          <w:trHeight w:val="255"/>
        </w:trPr>
        <w:tc>
          <w:tcPr>
            <w:tcW w:w="5000" w:type="pct"/>
            <w:shd w:val="clear" w:color="auto" w:fill="auto"/>
            <w:vAlign w:val="center"/>
          </w:tcPr>
          <w:p w:rsidR="00496A27" w:rsidRPr="006B5E0E" w:rsidRDefault="00496A27" w:rsidP="006B5E0E">
            <w:pPr>
              <w:spacing w:after="0" w:line="480" w:lineRule="auto"/>
              <w:rPr>
                <w:rFonts w:ascii="Times New Roman" w:eastAsia="Times New Roman" w:hAnsi="Times New Roman"/>
                <w:b/>
                <w:bCs/>
                <w:sz w:val="24"/>
                <w:szCs w:val="24"/>
                <w:lang w:eastAsia="en-US"/>
              </w:rPr>
            </w:pPr>
            <w:r w:rsidRPr="006B5E0E">
              <w:rPr>
                <w:rFonts w:ascii="Times New Roman" w:eastAsia="Times New Roman" w:hAnsi="Times New Roman"/>
                <w:b/>
                <w:bCs/>
                <w:sz w:val="24"/>
                <w:szCs w:val="24"/>
                <w:lang w:eastAsia="en-US"/>
              </w:rPr>
              <w:t xml:space="preserve">5.  Vision for Wealth: Preference towards Wealth Protection versus Wealth Building </w:t>
            </w:r>
          </w:p>
        </w:tc>
      </w:tr>
      <w:tr w:rsidR="00496A27" w:rsidRPr="006B5E0E" w:rsidTr="00977949">
        <w:trPr>
          <w:trHeight w:val="255"/>
        </w:trPr>
        <w:tc>
          <w:tcPr>
            <w:tcW w:w="5000" w:type="pct"/>
            <w:shd w:val="clear" w:color="auto" w:fill="auto"/>
            <w:vAlign w:val="center"/>
          </w:tcPr>
          <w:p w:rsidR="00496A27" w:rsidRPr="006B5E0E" w:rsidRDefault="00496A27" w:rsidP="006B5E0E">
            <w:pPr>
              <w:spacing w:after="0" w:line="480" w:lineRule="auto"/>
              <w:rPr>
                <w:rFonts w:ascii="Times New Roman" w:eastAsia="Times New Roman" w:hAnsi="Times New Roman"/>
                <w:b/>
                <w:bCs/>
                <w:sz w:val="24"/>
                <w:szCs w:val="24"/>
                <w:lang w:eastAsia="en-US"/>
              </w:rPr>
            </w:pPr>
            <w:r w:rsidRPr="006B5E0E">
              <w:rPr>
                <w:rFonts w:ascii="Times New Roman" w:eastAsia="Times New Roman" w:hAnsi="Times New Roman"/>
                <w:b/>
                <w:bCs/>
                <w:sz w:val="24"/>
                <w:szCs w:val="24"/>
                <w:lang w:eastAsia="en-US"/>
              </w:rPr>
              <w:t xml:space="preserve">6.  Attitude towards Risk: Risk averse versus Risk takers </w:t>
            </w:r>
          </w:p>
        </w:tc>
      </w:tr>
      <w:tr w:rsidR="00496A27" w:rsidRPr="006B5E0E" w:rsidTr="00977949">
        <w:trPr>
          <w:trHeight w:val="255"/>
        </w:trPr>
        <w:tc>
          <w:tcPr>
            <w:tcW w:w="5000" w:type="pct"/>
            <w:shd w:val="clear" w:color="auto" w:fill="auto"/>
            <w:vAlign w:val="center"/>
          </w:tcPr>
          <w:p w:rsidR="00496A27" w:rsidRPr="006B5E0E" w:rsidRDefault="00496A27" w:rsidP="006B5E0E">
            <w:pPr>
              <w:spacing w:after="0" w:line="480" w:lineRule="auto"/>
              <w:rPr>
                <w:rFonts w:ascii="Times New Roman" w:eastAsia="Times New Roman" w:hAnsi="Times New Roman"/>
                <w:b/>
                <w:bCs/>
                <w:sz w:val="24"/>
                <w:szCs w:val="24"/>
                <w:lang w:eastAsia="en-US"/>
              </w:rPr>
            </w:pPr>
            <w:r w:rsidRPr="006B5E0E">
              <w:rPr>
                <w:rFonts w:ascii="Times New Roman" w:eastAsia="Times New Roman" w:hAnsi="Times New Roman"/>
                <w:b/>
                <w:bCs/>
                <w:sz w:val="24"/>
                <w:szCs w:val="24"/>
                <w:lang w:eastAsia="en-US"/>
              </w:rPr>
              <w:t xml:space="preserve">7.  Use of Novel Instruments: Preference towards Alternatives versus </w:t>
            </w:r>
            <w:r w:rsidR="00A233AD" w:rsidRPr="006B5E0E">
              <w:rPr>
                <w:rFonts w:ascii="Times New Roman" w:eastAsia="Times New Roman" w:hAnsi="Times New Roman"/>
                <w:b/>
                <w:bCs/>
                <w:sz w:val="24"/>
                <w:szCs w:val="24"/>
                <w:lang w:eastAsia="en-US"/>
              </w:rPr>
              <w:t xml:space="preserve">Traditional </w:t>
            </w:r>
          </w:p>
        </w:tc>
      </w:tr>
      <w:tr w:rsidR="00496A27" w:rsidRPr="006B5E0E" w:rsidTr="00977949">
        <w:trPr>
          <w:trHeight w:val="510"/>
        </w:trPr>
        <w:tc>
          <w:tcPr>
            <w:tcW w:w="5000" w:type="pct"/>
            <w:shd w:val="clear" w:color="auto" w:fill="auto"/>
            <w:vAlign w:val="center"/>
          </w:tcPr>
          <w:p w:rsidR="00496A27" w:rsidRPr="006B5E0E" w:rsidRDefault="00496A27" w:rsidP="006B5E0E">
            <w:pPr>
              <w:spacing w:after="0" w:line="480" w:lineRule="auto"/>
              <w:rPr>
                <w:rFonts w:ascii="Times New Roman" w:eastAsia="Times New Roman" w:hAnsi="Times New Roman"/>
                <w:b/>
                <w:bCs/>
                <w:sz w:val="24"/>
                <w:szCs w:val="24"/>
                <w:lang w:eastAsia="en-US"/>
              </w:rPr>
            </w:pPr>
            <w:r w:rsidRPr="006B5E0E">
              <w:rPr>
                <w:rFonts w:ascii="Times New Roman" w:eastAsia="Times New Roman" w:hAnsi="Times New Roman"/>
                <w:b/>
                <w:bCs/>
                <w:sz w:val="24"/>
                <w:szCs w:val="24"/>
                <w:lang w:eastAsia="en-US"/>
              </w:rPr>
              <w:t xml:space="preserve">8.  International v. Domestic bias: Preference towards On-shore versus Off-shore </w:t>
            </w:r>
          </w:p>
        </w:tc>
      </w:tr>
      <w:tr w:rsidR="00496A27" w:rsidRPr="006B5E0E" w:rsidTr="00977949">
        <w:trPr>
          <w:trHeight w:val="255"/>
        </w:trPr>
        <w:tc>
          <w:tcPr>
            <w:tcW w:w="5000" w:type="pct"/>
            <w:tcBorders>
              <w:bottom w:val="thickThinSmallGap" w:sz="24" w:space="0" w:color="auto"/>
            </w:tcBorders>
            <w:shd w:val="clear" w:color="auto" w:fill="auto"/>
            <w:vAlign w:val="center"/>
          </w:tcPr>
          <w:p w:rsidR="00496A27" w:rsidRPr="006B5E0E" w:rsidRDefault="00496A27" w:rsidP="006B5E0E">
            <w:pPr>
              <w:spacing w:after="0" w:line="480" w:lineRule="auto"/>
              <w:rPr>
                <w:rFonts w:ascii="Times New Roman" w:eastAsia="Times New Roman" w:hAnsi="Times New Roman"/>
                <w:b/>
                <w:bCs/>
                <w:sz w:val="24"/>
                <w:szCs w:val="24"/>
                <w:lang w:eastAsia="en-US"/>
              </w:rPr>
            </w:pPr>
            <w:r w:rsidRPr="006B5E0E">
              <w:rPr>
                <w:rFonts w:ascii="Times New Roman" w:eastAsia="Times New Roman" w:hAnsi="Times New Roman"/>
                <w:b/>
                <w:bCs/>
                <w:sz w:val="24"/>
                <w:szCs w:val="24"/>
                <w:lang w:eastAsia="en-US"/>
              </w:rPr>
              <w:t>9.  Balance sheet focus: Asset Management only versus Asset Management and Credit</w:t>
            </w:r>
          </w:p>
        </w:tc>
      </w:tr>
    </w:tbl>
    <w:p w:rsidR="00496A27" w:rsidRPr="006B5E0E" w:rsidRDefault="00496A27" w:rsidP="006B5E0E">
      <w:pPr>
        <w:spacing w:line="480" w:lineRule="auto"/>
        <w:rPr>
          <w:rFonts w:ascii="Times New Roman" w:hAnsi="Times New Roman"/>
          <w:sz w:val="24"/>
          <w:szCs w:val="24"/>
        </w:rPr>
      </w:pPr>
    </w:p>
    <w:p w:rsidR="002C0401" w:rsidRPr="006B5E0E" w:rsidRDefault="00F47290" w:rsidP="006B5E0E">
      <w:pPr>
        <w:spacing w:before="100" w:beforeAutospacing="1" w:after="100" w:afterAutospacing="1" w:line="480" w:lineRule="auto"/>
        <w:rPr>
          <w:rFonts w:ascii="Times New Roman" w:hAnsi="Times New Roman"/>
          <w:sz w:val="24"/>
          <w:szCs w:val="24"/>
        </w:rPr>
      </w:pPr>
      <w:r w:rsidRPr="006B5E0E">
        <w:rPr>
          <w:rFonts w:ascii="Times New Roman" w:eastAsia="Times New Roman" w:hAnsi="Times New Roman"/>
          <w:sz w:val="24"/>
          <w:szCs w:val="24"/>
          <w:lang w:eastAsia="en-US"/>
        </w:rPr>
        <w:br w:type="page"/>
      </w:r>
    </w:p>
    <w:p w:rsidR="00FA7D95" w:rsidRPr="005A2D63" w:rsidRDefault="00FA7D95" w:rsidP="00FA7D95">
      <w:pPr>
        <w:spacing w:before="100" w:beforeAutospacing="1" w:after="100" w:afterAutospacing="1" w:line="480" w:lineRule="auto"/>
        <w:rPr>
          <w:rFonts w:ascii="Times New Roman" w:eastAsia="Times New Roman" w:hAnsi="Times New Roman"/>
          <w:sz w:val="24"/>
          <w:szCs w:val="24"/>
        </w:rPr>
      </w:pPr>
      <w:r>
        <w:rPr>
          <w:rFonts w:ascii="Times New Roman" w:hAnsi="Times New Roman"/>
          <w:sz w:val="24"/>
          <w:szCs w:val="24"/>
        </w:rPr>
        <w:lastRenderedPageBreak/>
        <w:t>T</w:t>
      </w:r>
      <w:r w:rsidRPr="005A2D63">
        <w:rPr>
          <w:rFonts w:ascii="Times New Roman" w:eastAsia="Times New Roman" w:hAnsi="Times New Roman"/>
          <w:sz w:val="24"/>
          <w:szCs w:val="24"/>
        </w:rPr>
        <w:t xml:space="preserve">able </w:t>
      </w:r>
      <w:r>
        <w:rPr>
          <w:rFonts w:ascii="Times New Roman" w:eastAsia="Times New Roman" w:hAnsi="Times New Roman"/>
          <w:sz w:val="24"/>
          <w:szCs w:val="24"/>
        </w:rPr>
        <w:t>3</w:t>
      </w:r>
      <w:r w:rsidRPr="005A2D63">
        <w:rPr>
          <w:rFonts w:ascii="Times New Roman" w:eastAsia="Times New Roman" w:hAnsi="Times New Roman"/>
          <w:sz w:val="24"/>
          <w:szCs w:val="24"/>
        </w:rPr>
        <w:t>: Descriptive Statistics of Variables in the Survey</w:t>
      </w:r>
      <w:r>
        <w:rPr>
          <w:rFonts w:ascii="Times New Roman" w:eastAsia="Times New Roman" w:hAnsi="Times New Roman"/>
          <w:sz w:val="24"/>
          <w:szCs w:val="24"/>
        </w:rPr>
        <w:t xml:space="preserve"> (n = 51</w:t>
      </w:r>
      <w:r w:rsidRPr="005A2D63">
        <w:rPr>
          <w:rFonts w:ascii="Times New Roman" w:eastAsia="Times New Roman" w:hAnsi="Times New Roman"/>
          <w:sz w:val="24"/>
          <w:szCs w:val="24"/>
        </w:rPr>
        <w:t>.</w:t>
      </w:r>
      <w:r>
        <w:rPr>
          <w:rFonts w:ascii="Times New Roman" w:eastAsia="Times New Roman" w:hAnsi="Times New Roman"/>
          <w:sz w:val="24"/>
          <w:szCs w:val="24"/>
        </w:rPr>
        <w:t>)</w:t>
      </w:r>
      <w:r w:rsidRPr="005A2D63">
        <w:rPr>
          <w:rFonts w:ascii="Times New Roman" w:eastAsia="Times New Roman" w:hAnsi="Times New Roman"/>
          <w:sz w:val="24"/>
          <w:szCs w:val="24"/>
        </w:rPr>
        <w:t xml:space="preserve">   </w:t>
      </w:r>
    </w:p>
    <w:tbl>
      <w:tblPr>
        <w:tblW w:w="8800" w:type="dxa"/>
        <w:tblInd w:w="28" w:type="dxa"/>
        <w:tblLayout w:type="fixed"/>
        <w:tblCellMar>
          <w:left w:w="28" w:type="dxa"/>
          <w:right w:w="28" w:type="dxa"/>
        </w:tblCellMar>
        <w:tblLook w:val="04A0"/>
      </w:tblPr>
      <w:tblGrid>
        <w:gridCol w:w="2530"/>
        <w:gridCol w:w="1567"/>
        <w:gridCol w:w="1568"/>
        <w:gridCol w:w="1567"/>
        <w:gridCol w:w="1568"/>
      </w:tblGrid>
      <w:tr w:rsidR="00FA7D95" w:rsidRPr="005A2D63" w:rsidTr="00FA7D95">
        <w:trPr>
          <w:trHeight w:val="330"/>
        </w:trPr>
        <w:tc>
          <w:tcPr>
            <w:tcW w:w="2530" w:type="dxa"/>
            <w:tcBorders>
              <w:top w:val="thinThickSmallGap" w:sz="24" w:space="0" w:color="auto"/>
              <w:bottom w:val="single" w:sz="4" w:space="0" w:color="auto"/>
            </w:tcBorders>
            <w:shd w:val="clear" w:color="auto" w:fill="auto"/>
            <w:vAlign w:val="bottom"/>
          </w:tcPr>
          <w:p w:rsidR="00FA7D95" w:rsidRPr="005A2D63" w:rsidRDefault="00FA7D95" w:rsidP="00141860">
            <w:pPr>
              <w:spacing w:after="0"/>
              <w:rPr>
                <w:rFonts w:ascii="Times New Roman" w:hAnsi="Times New Roman"/>
                <w:sz w:val="24"/>
                <w:szCs w:val="24"/>
              </w:rPr>
            </w:pPr>
            <w:r w:rsidRPr="005A2D63">
              <w:rPr>
                <w:rFonts w:ascii="Times New Roman" w:hAnsi="Times New Roman"/>
                <w:sz w:val="24"/>
                <w:szCs w:val="24"/>
              </w:rPr>
              <w:t>Hypotheses sets</w:t>
            </w:r>
          </w:p>
        </w:tc>
        <w:tc>
          <w:tcPr>
            <w:tcW w:w="1567" w:type="dxa"/>
            <w:tcBorders>
              <w:top w:val="thinThickSmallGap" w:sz="24" w:space="0" w:color="auto"/>
              <w:bottom w:val="single" w:sz="4" w:space="0" w:color="auto"/>
            </w:tcBorders>
            <w:shd w:val="clear" w:color="auto" w:fill="auto"/>
            <w:vAlign w:val="bottom"/>
          </w:tcPr>
          <w:p w:rsidR="00FA7D95" w:rsidRPr="005A2D63" w:rsidRDefault="00FA7D95" w:rsidP="00141860">
            <w:pPr>
              <w:spacing w:after="0"/>
              <w:rPr>
                <w:rFonts w:ascii="Times New Roman" w:hAnsi="Times New Roman"/>
                <w:i/>
                <w:iCs/>
                <w:sz w:val="24"/>
                <w:szCs w:val="24"/>
              </w:rPr>
            </w:pPr>
            <w:r w:rsidRPr="005A2D63">
              <w:rPr>
                <w:rFonts w:ascii="Times New Roman" w:hAnsi="Times New Roman"/>
                <w:i/>
                <w:iCs/>
                <w:sz w:val="24"/>
                <w:szCs w:val="24"/>
              </w:rPr>
              <w:t>Endowed</w:t>
            </w:r>
          </w:p>
        </w:tc>
        <w:tc>
          <w:tcPr>
            <w:tcW w:w="1568" w:type="dxa"/>
            <w:tcBorders>
              <w:top w:val="thinThickSmallGap" w:sz="24" w:space="0" w:color="auto"/>
              <w:bottom w:val="single" w:sz="4" w:space="0" w:color="auto"/>
            </w:tcBorders>
            <w:shd w:val="clear" w:color="auto" w:fill="auto"/>
            <w:vAlign w:val="bottom"/>
          </w:tcPr>
          <w:p w:rsidR="00FA7D95" w:rsidRPr="005A2D63" w:rsidRDefault="00FA7D95" w:rsidP="00141860">
            <w:pPr>
              <w:spacing w:after="0"/>
              <w:rPr>
                <w:rFonts w:ascii="Times New Roman" w:hAnsi="Times New Roman"/>
                <w:i/>
                <w:iCs/>
                <w:sz w:val="24"/>
                <w:szCs w:val="24"/>
              </w:rPr>
            </w:pPr>
            <w:r w:rsidRPr="005A2D63">
              <w:rPr>
                <w:rFonts w:ascii="Times New Roman" w:hAnsi="Times New Roman"/>
                <w:i/>
                <w:iCs/>
                <w:sz w:val="24"/>
                <w:szCs w:val="24"/>
              </w:rPr>
              <w:t>Entertainers</w:t>
            </w:r>
          </w:p>
        </w:tc>
        <w:tc>
          <w:tcPr>
            <w:tcW w:w="1567" w:type="dxa"/>
            <w:tcBorders>
              <w:top w:val="thinThickSmallGap" w:sz="24" w:space="0" w:color="auto"/>
              <w:bottom w:val="single" w:sz="4" w:space="0" w:color="auto"/>
            </w:tcBorders>
            <w:shd w:val="clear" w:color="auto" w:fill="auto"/>
            <w:vAlign w:val="bottom"/>
          </w:tcPr>
          <w:p w:rsidR="00FA7D95" w:rsidRPr="005A2D63" w:rsidRDefault="00FA7D95" w:rsidP="00141860">
            <w:pPr>
              <w:spacing w:after="0"/>
              <w:rPr>
                <w:rFonts w:ascii="Times New Roman" w:hAnsi="Times New Roman"/>
                <w:i/>
                <w:iCs/>
                <w:sz w:val="24"/>
                <w:szCs w:val="24"/>
              </w:rPr>
            </w:pPr>
            <w:r w:rsidRPr="005A2D63">
              <w:rPr>
                <w:rFonts w:ascii="Times New Roman" w:hAnsi="Times New Roman"/>
                <w:i/>
                <w:iCs/>
                <w:sz w:val="24"/>
                <w:szCs w:val="24"/>
              </w:rPr>
              <w:t>Executives</w:t>
            </w:r>
          </w:p>
        </w:tc>
        <w:tc>
          <w:tcPr>
            <w:tcW w:w="1568" w:type="dxa"/>
            <w:tcBorders>
              <w:top w:val="thinThickSmallGap" w:sz="24" w:space="0" w:color="auto"/>
              <w:bottom w:val="single" w:sz="4" w:space="0" w:color="auto"/>
            </w:tcBorders>
            <w:shd w:val="clear" w:color="auto" w:fill="auto"/>
            <w:vAlign w:val="bottom"/>
          </w:tcPr>
          <w:p w:rsidR="00FA7D95" w:rsidRPr="005A2D63" w:rsidRDefault="00FA7D95" w:rsidP="00141860">
            <w:pPr>
              <w:spacing w:after="0"/>
              <w:rPr>
                <w:rFonts w:ascii="Times New Roman" w:hAnsi="Times New Roman"/>
                <w:i/>
                <w:iCs/>
                <w:sz w:val="24"/>
                <w:szCs w:val="24"/>
              </w:rPr>
            </w:pPr>
            <w:r w:rsidRPr="005A2D63">
              <w:rPr>
                <w:rFonts w:ascii="Times New Roman" w:hAnsi="Times New Roman"/>
                <w:i/>
                <w:iCs/>
                <w:sz w:val="24"/>
                <w:szCs w:val="24"/>
              </w:rPr>
              <w:t>Entrepreneurs</w:t>
            </w:r>
          </w:p>
        </w:tc>
      </w:tr>
      <w:tr w:rsidR="00FA7D95" w:rsidRPr="005A2D63" w:rsidTr="00FA7D95">
        <w:trPr>
          <w:trHeight w:val="330"/>
        </w:trPr>
        <w:tc>
          <w:tcPr>
            <w:tcW w:w="2530" w:type="dxa"/>
            <w:tcBorders>
              <w:top w:val="single" w:sz="4" w:space="0" w:color="auto"/>
            </w:tcBorders>
            <w:shd w:val="clear" w:color="auto" w:fill="auto"/>
            <w:noWrap/>
            <w:vAlign w:val="bottom"/>
          </w:tcPr>
          <w:p w:rsidR="00FA7D95" w:rsidRPr="005A2D63" w:rsidRDefault="00FA7D95" w:rsidP="00141860">
            <w:pPr>
              <w:spacing w:after="0"/>
              <w:rPr>
                <w:rFonts w:ascii="Times New Roman" w:hAnsi="Times New Roman"/>
                <w:b/>
                <w:bCs/>
                <w:sz w:val="24"/>
                <w:szCs w:val="24"/>
              </w:rPr>
            </w:pPr>
          </w:p>
        </w:tc>
        <w:tc>
          <w:tcPr>
            <w:tcW w:w="1567" w:type="dxa"/>
            <w:tcBorders>
              <w:top w:val="single" w:sz="4" w:space="0" w:color="auto"/>
            </w:tcBorders>
            <w:shd w:val="clear" w:color="auto" w:fill="auto"/>
            <w:noWrap/>
            <w:vAlign w:val="bottom"/>
          </w:tcPr>
          <w:p w:rsidR="00FA7D95" w:rsidRPr="005A2D63" w:rsidRDefault="00FA7D95" w:rsidP="00141860">
            <w:pPr>
              <w:spacing w:after="0"/>
              <w:rPr>
                <w:rFonts w:ascii="Times New Roman" w:hAnsi="Times New Roman"/>
                <w:sz w:val="24"/>
                <w:szCs w:val="24"/>
              </w:rPr>
            </w:pPr>
            <w:r w:rsidRPr="005A2D63">
              <w:rPr>
                <w:rFonts w:ascii="Times New Roman" w:hAnsi="Times New Roman"/>
                <w:sz w:val="24"/>
                <w:szCs w:val="24"/>
              </w:rPr>
              <w:t xml:space="preserve">　</w:t>
            </w:r>
          </w:p>
        </w:tc>
        <w:tc>
          <w:tcPr>
            <w:tcW w:w="1568" w:type="dxa"/>
            <w:tcBorders>
              <w:top w:val="single" w:sz="4" w:space="0" w:color="auto"/>
            </w:tcBorders>
            <w:shd w:val="clear" w:color="auto" w:fill="auto"/>
            <w:noWrap/>
            <w:vAlign w:val="bottom"/>
          </w:tcPr>
          <w:p w:rsidR="00FA7D95" w:rsidRPr="005A2D63" w:rsidRDefault="00FA7D95" w:rsidP="00141860">
            <w:pPr>
              <w:spacing w:after="0"/>
              <w:rPr>
                <w:rFonts w:ascii="Times New Roman" w:hAnsi="Times New Roman"/>
                <w:sz w:val="24"/>
                <w:szCs w:val="24"/>
              </w:rPr>
            </w:pPr>
            <w:r w:rsidRPr="005A2D63">
              <w:rPr>
                <w:rFonts w:ascii="Times New Roman" w:hAnsi="Times New Roman"/>
                <w:sz w:val="24"/>
                <w:szCs w:val="24"/>
              </w:rPr>
              <w:t xml:space="preserve">　</w:t>
            </w:r>
          </w:p>
        </w:tc>
        <w:tc>
          <w:tcPr>
            <w:tcW w:w="1567" w:type="dxa"/>
            <w:tcBorders>
              <w:top w:val="single" w:sz="4" w:space="0" w:color="auto"/>
            </w:tcBorders>
            <w:shd w:val="clear" w:color="auto" w:fill="auto"/>
            <w:noWrap/>
            <w:vAlign w:val="bottom"/>
          </w:tcPr>
          <w:p w:rsidR="00FA7D95" w:rsidRPr="005A2D63" w:rsidRDefault="00FA7D95" w:rsidP="00141860">
            <w:pPr>
              <w:spacing w:after="0"/>
              <w:rPr>
                <w:rFonts w:ascii="Times New Roman" w:hAnsi="Times New Roman"/>
                <w:sz w:val="24"/>
                <w:szCs w:val="24"/>
              </w:rPr>
            </w:pPr>
            <w:r w:rsidRPr="005A2D63">
              <w:rPr>
                <w:rFonts w:ascii="Times New Roman" w:hAnsi="Times New Roman"/>
                <w:sz w:val="24"/>
                <w:szCs w:val="24"/>
              </w:rPr>
              <w:t xml:space="preserve">　</w:t>
            </w:r>
          </w:p>
        </w:tc>
        <w:tc>
          <w:tcPr>
            <w:tcW w:w="1568" w:type="dxa"/>
            <w:tcBorders>
              <w:top w:val="single" w:sz="4" w:space="0" w:color="auto"/>
            </w:tcBorders>
            <w:shd w:val="clear" w:color="auto" w:fill="auto"/>
            <w:noWrap/>
            <w:vAlign w:val="bottom"/>
          </w:tcPr>
          <w:p w:rsidR="00FA7D95" w:rsidRPr="005A2D63" w:rsidRDefault="00FA7D95" w:rsidP="00141860">
            <w:pPr>
              <w:spacing w:after="0"/>
              <w:rPr>
                <w:rFonts w:ascii="Times New Roman" w:hAnsi="Times New Roman"/>
                <w:sz w:val="24"/>
                <w:szCs w:val="24"/>
              </w:rPr>
            </w:pPr>
            <w:r w:rsidRPr="005A2D63">
              <w:rPr>
                <w:rFonts w:ascii="Times New Roman" w:hAnsi="Times New Roman"/>
                <w:sz w:val="24"/>
                <w:szCs w:val="24"/>
              </w:rPr>
              <w:t xml:space="preserve">　</w:t>
            </w:r>
          </w:p>
        </w:tc>
      </w:tr>
      <w:tr w:rsidR="00FA7D95" w:rsidRPr="005A2D63" w:rsidTr="00FA7D95">
        <w:trPr>
          <w:trHeight w:val="330"/>
        </w:trPr>
        <w:tc>
          <w:tcPr>
            <w:tcW w:w="2530" w:type="dxa"/>
            <w:shd w:val="clear" w:color="auto" w:fill="auto"/>
            <w:noWrap/>
            <w:vAlign w:val="bottom"/>
          </w:tcPr>
          <w:p w:rsidR="00FA7D95" w:rsidRPr="005A2D63" w:rsidRDefault="00FA7D95" w:rsidP="00141860">
            <w:pPr>
              <w:spacing w:after="0"/>
              <w:rPr>
                <w:rFonts w:ascii="Times New Roman" w:hAnsi="Times New Roman"/>
                <w:sz w:val="24"/>
                <w:szCs w:val="24"/>
              </w:rPr>
            </w:pPr>
            <w:r w:rsidRPr="005A2D63">
              <w:rPr>
                <w:rFonts w:ascii="Times New Roman" w:hAnsi="Times New Roman"/>
                <w:sz w:val="24"/>
                <w:szCs w:val="24"/>
              </w:rPr>
              <w:t>Network relationship (confidentiality v. information)</w:t>
            </w:r>
          </w:p>
        </w:tc>
        <w:tc>
          <w:tcPr>
            <w:tcW w:w="1567" w:type="dxa"/>
            <w:shd w:val="clear" w:color="auto" w:fill="auto"/>
            <w:vAlign w:val="center"/>
          </w:tcPr>
          <w:p w:rsidR="00FA7D95" w:rsidRPr="005A2D63" w:rsidRDefault="00FA7D95" w:rsidP="00141860">
            <w:pPr>
              <w:spacing w:after="0"/>
              <w:rPr>
                <w:rFonts w:ascii="Times New Roman" w:hAnsi="Times New Roman"/>
                <w:sz w:val="24"/>
                <w:szCs w:val="24"/>
              </w:rPr>
            </w:pPr>
            <w:r w:rsidRPr="005A2D63">
              <w:rPr>
                <w:rFonts w:ascii="Times New Roman" w:hAnsi="Times New Roman"/>
                <w:sz w:val="24"/>
                <w:szCs w:val="24"/>
              </w:rPr>
              <w:t>2.49</w:t>
            </w:r>
          </w:p>
        </w:tc>
        <w:tc>
          <w:tcPr>
            <w:tcW w:w="1568" w:type="dxa"/>
            <w:shd w:val="clear" w:color="auto" w:fill="auto"/>
            <w:vAlign w:val="center"/>
          </w:tcPr>
          <w:p w:rsidR="00FA7D95" w:rsidRPr="005A2D63" w:rsidRDefault="00FA7D95" w:rsidP="00141860">
            <w:pPr>
              <w:spacing w:after="0"/>
              <w:rPr>
                <w:rFonts w:ascii="Times New Roman" w:hAnsi="Times New Roman"/>
                <w:sz w:val="24"/>
                <w:szCs w:val="24"/>
              </w:rPr>
            </w:pPr>
            <w:r w:rsidRPr="005A2D63">
              <w:rPr>
                <w:rFonts w:ascii="Times New Roman" w:hAnsi="Times New Roman"/>
                <w:sz w:val="24"/>
                <w:szCs w:val="24"/>
              </w:rPr>
              <w:t>2.59</w:t>
            </w:r>
          </w:p>
        </w:tc>
        <w:tc>
          <w:tcPr>
            <w:tcW w:w="1567" w:type="dxa"/>
            <w:shd w:val="clear" w:color="auto" w:fill="auto"/>
            <w:vAlign w:val="center"/>
          </w:tcPr>
          <w:p w:rsidR="00FA7D95" w:rsidRPr="005A2D63" w:rsidRDefault="00FA7D95" w:rsidP="00141860">
            <w:pPr>
              <w:spacing w:after="0"/>
              <w:rPr>
                <w:rFonts w:ascii="Times New Roman" w:hAnsi="Times New Roman"/>
                <w:sz w:val="24"/>
                <w:szCs w:val="24"/>
              </w:rPr>
            </w:pPr>
            <w:r w:rsidRPr="005A2D63">
              <w:rPr>
                <w:rFonts w:ascii="Times New Roman" w:hAnsi="Times New Roman"/>
                <w:sz w:val="24"/>
                <w:szCs w:val="24"/>
              </w:rPr>
              <w:t>2.92</w:t>
            </w:r>
          </w:p>
        </w:tc>
        <w:tc>
          <w:tcPr>
            <w:tcW w:w="1568" w:type="dxa"/>
            <w:shd w:val="clear" w:color="auto" w:fill="auto"/>
            <w:vAlign w:val="center"/>
          </w:tcPr>
          <w:p w:rsidR="00FA7D95" w:rsidRPr="005A2D63" w:rsidRDefault="00FA7D95" w:rsidP="00141860">
            <w:pPr>
              <w:spacing w:after="0"/>
              <w:rPr>
                <w:rFonts w:ascii="Times New Roman" w:hAnsi="Times New Roman"/>
                <w:sz w:val="24"/>
                <w:szCs w:val="24"/>
              </w:rPr>
            </w:pPr>
            <w:r w:rsidRPr="005A2D63">
              <w:rPr>
                <w:rFonts w:ascii="Times New Roman" w:hAnsi="Times New Roman"/>
                <w:sz w:val="24"/>
                <w:szCs w:val="24"/>
              </w:rPr>
              <w:t>3.47</w:t>
            </w:r>
          </w:p>
        </w:tc>
      </w:tr>
      <w:tr w:rsidR="00FA7D95" w:rsidRPr="005A2D63" w:rsidTr="00FA7D95">
        <w:trPr>
          <w:trHeight w:val="330"/>
        </w:trPr>
        <w:tc>
          <w:tcPr>
            <w:tcW w:w="2530" w:type="dxa"/>
            <w:tcBorders>
              <w:bottom w:val="dotDash" w:sz="4" w:space="0" w:color="auto"/>
            </w:tcBorders>
            <w:shd w:val="clear" w:color="auto" w:fill="auto"/>
            <w:noWrap/>
            <w:vAlign w:val="bottom"/>
          </w:tcPr>
          <w:p w:rsidR="00FA7D95" w:rsidRPr="005A2D63" w:rsidRDefault="00FA7D95" w:rsidP="00141860">
            <w:pPr>
              <w:spacing w:after="0"/>
              <w:rPr>
                <w:rFonts w:ascii="Times New Roman" w:hAnsi="Times New Roman"/>
                <w:sz w:val="24"/>
                <w:szCs w:val="24"/>
              </w:rPr>
            </w:pPr>
            <w:r w:rsidRPr="005A2D63">
              <w:rPr>
                <w:rFonts w:ascii="Times New Roman" w:hAnsi="Times New Roman"/>
                <w:sz w:val="24"/>
                <w:szCs w:val="24"/>
              </w:rPr>
              <w:t>Legacy relationship (intergenerational v. social)</w:t>
            </w:r>
          </w:p>
        </w:tc>
        <w:tc>
          <w:tcPr>
            <w:tcW w:w="1567" w:type="dxa"/>
            <w:tcBorders>
              <w:bottom w:val="dotDash" w:sz="4" w:space="0" w:color="auto"/>
            </w:tcBorders>
            <w:shd w:val="clear" w:color="auto" w:fill="auto"/>
            <w:vAlign w:val="center"/>
          </w:tcPr>
          <w:p w:rsidR="00FA7D95" w:rsidRPr="005A2D63" w:rsidRDefault="00FA7D95" w:rsidP="00141860">
            <w:pPr>
              <w:spacing w:after="0"/>
              <w:rPr>
                <w:rFonts w:ascii="Times New Roman" w:hAnsi="Times New Roman"/>
                <w:sz w:val="24"/>
                <w:szCs w:val="24"/>
              </w:rPr>
            </w:pPr>
            <w:r w:rsidRPr="005A2D63">
              <w:rPr>
                <w:rFonts w:ascii="Times New Roman" w:hAnsi="Times New Roman"/>
                <w:sz w:val="24"/>
                <w:szCs w:val="24"/>
              </w:rPr>
              <w:t>2.67</w:t>
            </w:r>
          </w:p>
        </w:tc>
        <w:tc>
          <w:tcPr>
            <w:tcW w:w="1568" w:type="dxa"/>
            <w:tcBorders>
              <w:bottom w:val="dotDash" w:sz="4" w:space="0" w:color="auto"/>
            </w:tcBorders>
            <w:shd w:val="clear" w:color="auto" w:fill="auto"/>
            <w:vAlign w:val="center"/>
          </w:tcPr>
          <w:p w:rsidR="00FA7D95" w:rsidRPr="005A2D63" w:rsidRDefault="00FA7D95" w:rsidP="00141860">
            <w:pPr>
              <w:spacing w:after="0"/>
              <w:rPr>
                <w:rFonts w:ascii="Times New Roman" w:hAnsi="Times New Roman"/>
                <w:sz w:val="24"/>
                <w:szCs w:val="24"/>
              </w:rPr>
            </w:pPr>
            <w:r w:rsidRPr="005A2D63">
              <w:rPr>
                <w:rFonts w:ascii="Times New Roman" w:hAnsi="Times New Roman"/>
                <w:sz w:val="24"/>
                <w:szCs w:val="24"/>
              </w:rPr>
              <w:t>2.65</w:t>
            </w:r>
          </w:p>
        </w:tc>
        <w:tc>
          <w:tcPr>
            <w:tcW w:w="1567" w:type="dxa"/>
            <w:tcBorders>
              <w:bottom w:val="dotDash" w:sz="4" w:space="0" w:color="auto"/>
            </w:tcBorders>
            <w:shd w:val="clear" w:color="auto" w:fill="auto"/>
            <w:vAlign w:val="center"/>
          </w:tcPr>
          <w:p w:rsidR="00FA7D95" w:rsidRPr="005A2D63" w:rsidRDefault="00FA7D95" w:rsidP="00141860">
            <w:pPr>
              <w:spacing w:after="0"/>
              <w:rPr>
                <w:rFonts w:ascii="Times New Roman" w:hAnsi="Times New Roman"/>
                <w:sz w:val="24"/>
                <w:szCs w:val="24"/>
              </w:rPr>
            </w:pPr>
            <w:r w:rsidRPr="005A2D63">
              <w:rPr>
                <w:rFonts w:ascii="Times New Roman" w:hAnsi="Times New Roman"/>
                <w:sz w:val="24"/>
                <w:szCs w:val="24"/>
              </w:rPr>
              <w:t>2.51</w:t>
            </w:r>
          </w:p>
        </w:tc>
        <w:tc>
          <w:tcPr>
            <w:tcW w:w="1568" w:type="dxa"/>
            <w:tcBorders>
              <w:bottom w:val="dotDash" w:sz="4" w:space="0" w:color="auto"/>
            </w:tcBorders>
            <w:shd w:val="clear" w:color="auto" w:fill="auto"/>
            <w:vAlign w:val="center"/>
          </w:tcPr>
          <w:p w:rsidR="00FA7D95" w:rsidRPr="005A2D63" w:rsidRDefault="00FA7D95" w:rsidP="00141860">
            <w:pPr>
              <w:spacing w:after="0"/>
              <w:rPr>
                <w:rFonts w:ascii="Times New Roman" w:hAnsi="Times New Roman"/>
                <w:sz w:val="24"/>
                <w:szCs w:val="24"/>
              </w:rPr>
            </w:pPr>
            <w:r w:rsidRPr="005A2D63">
              <w:rPr>
                <w:rFonts w:ascii="Times New Roman" w:hAnsi="Times New Roman"/>
                <w:sz w:val="24"/>
                <w:szCs w:val="24"/>
              </w:rPr>
              <w:t>3.22</w:t>
            </w:r>
          </w:p>
        </w:tc>
      </w:tr>
      <w:tr w:rsidR="00FA7D95" w:rsidRPr="005A2D63" w:rsidTr="00FA7D95">
        <w:trPr>
          <w:trHeight w:val="330"/>
        </w:trPr>
        <w:tc>
          <w:tcPr>
            <w:tcW w:w="2530" w:type="dxa"/>
            <w:tcBorders>
              <w:top w:val="dotDash" w:sz="4" w:space="0" w:color="auto"/>
            </w:tcBorders>
            <w:shd w:val="clear" w:color="auto" w:fill="auto"/>
            <w:noWrap/>
            <w:vAlign w:val="bottom"/>
          </w:tcPr>
          <w:p w:rsidR="00FA7D95" w:rsidRPr="005A2D63" w:rsidRDefault="00FA7D95" w:rsidP="00141860">
            <w:pPr>
              <w:spacing w:after="0"/>
              <w:rPr>
                <w:rFonts w:ascii="Times New Roman" w:hAnsi="Times New Roman"/>
                <w:b/>
                <w:bCs/>
                <w:sz w:val="24"/>
                <w:szCs w:val="24"/>
              </w:rPr>
            </w:pPr>
          </w:p>
        </w:tc>
        <w:tc>
          <w:tcPr>
            <w:tcW w:w="1567" w:type="dxa"/>
            <w:tcBorders>
              <w:top w:val="dotDash" w:sz="4" w:space="0" w:color="auto"/>
            </w:tcBorders>
            <w:shd w:val="clear" w:color="auto" w:fill="auto"/>
            <w:noWrap/>
            <w:vAlign w:val="bottom"/>
          </w:tcPr>
          <w:p w:rsidR="00FA7D95" w:rsidRPr="005A2D63" w:rsidRDefault="00FA7D95" w:rsidP="00141860">
            <w:pPr>
              <w:spacing w:after="0"/>
              <w:rPr>
                <w:rFonts w:ascii="Times New Roman" w:hAnsi="Times New Roman"/>
                <w:sz w:val="24"/>
                <w:szCs w:val="24"/>
              </w:rPr>
            </w:pPr>
            <w:r w:rsidRPr="005A2D63">
              <w:rPr>
                <w:rFonts w:ascii="Times New Roman" w:hAnsi="Times New Roman"/>
                <w:sz w:val="24"/>
                <w:szCs w:val="24"/>
              </w:rPr>
              <w:t xml:space="preserve">　</w:t>
            </w:r>
          </w:p>
        </w:tc>
        <w:tc>
          <w:tcPr>
            <w:tcW w:w="1568" w:type="dxa"/>
            <w:tcBorders>
              <w:top w:val="dotDash" w:sz="4" w:space="0" w:color="auto"/>
            </w:tcBorders>
            <w:shd w:val="clear" w:color="auto" w:fill="auto"/>
            <w:noWrap/>
            <w:vAlign w:val="bottom"/>
          </w:tcPr>
          <w:p w:rsidR="00FA7D95" w:rsidRPr="005A2D63" w:rsidRDefault="00FA7D95" w:rsidP="00141860">
            <w:pPr>
              <w:spacing w:after="0"/>
              <w:rPr>
                <w:rFonts w:ascii="Times New Roman" w:hAnsi="Times New Roman"/>
                <w:sz w:val="24"/>
                <w:szCs w:val="24"/>
              </w:rPr>
            </w:pPr>
            <w:r w:rsidRPr="005A2D63">
              <w:rPr>
                <w:rFonts w:ascii="Times New Roman" w:hAnsi="Times New Roman"/>
                <w:sz w:val="24"/>
                <w:szCs w:val="24"/>
              </w:rPr>
              <w:t xml:space="preserve">　</w:t>
            </w:r>
          </w:p>
        </w:tc>
        <w:tc>
          <w:tcPr>
            <w:tcW w:w="1567" w:type="dxa"/>
            <w:tcBorders>
              <w:top w:val="dotDash" w:sz="4" w:space="0" w:color="auto"/>
            </w:tcBorders>
            <w:shd w:val="clear" w:color="auto" w:fill="auto"/>
            <w:noWrap/>
            <w:vAlign w:val="bottom"/>
          </w:tcPr>
          <w:p w:rsidR="00FA7D95" w:rsidRPr="005A2D63" w:rsidRDefault="00FA7D95" w:rsidP="00141860">
            <w:pPr>
              <w:spacing w:after="0"/>
              <w:rPr>
                <w:rFonts w:ascii="Times New Roman" w:hAnsi="Times New Roman"/>
                <w:sz w:val="24"/>
                <w:szCs w:val="24"/>
              </w:rPr>
            </w:pPr>
            <w:r w:rsidRPr="005A2D63">
              <w:rPr>
                <w:rFonts w:ascii="Times New Roman" w:hAnsi="Times New Roman"/>
                <w:sz w:val="24"/>
                <w:szCs w:val="24"/>
              </w:rPr>
              <w:t xml:space="preserve">　</w:t>
            </w:r>
          </w:p>
        </w:tc>
        <w:tc>
          <w:tcPr>
            <w:tcW w:w="1568" w:type="dxa"/>
            <w:tcBorders>
              <w:top w:val="dotDash" w:sz="4" w:space="0" w:color="auto"/>
            </w:tcBorders>
            <w:shd w:val="clear" w:color="auto" w:fill="auto"/>
            <w:noWrap/>
            <w:vAlign w:val="bottom"/>
          </w:tcPr>
          <w:p w:rsidR="00FA7D95" w:rsidRPr="005A2D63" w:rsidRDefault="00FA7D95" w:rsidP="00141860">
            <w:pPr>
              <w:spacing w:after="0"/>
              <w:rPr>
                <w:rFonts w:ascii="Times New Roman" w:hAnsi="Times New Roman"/>
                <w:sz w:val="24"/>
                <w:szCs w:val="24"/>
              </w:rPr>
            </w:pPr>
            <w:r w:rsidRPr="005A2D63">
              <w:rPr>
                <w:rFonts w:ascii="Times New Roman" w:hAnsi="Times New Roman"/>
                <w:sz w:val="24"/>
                <w:szCs w:val="24"/>
              </w:rPr>
              <w:t xml:space="preserve">　</w:t>
            </w:r>
          </w:p>
        </w:tc>
      </w:tr>
      <w:tr w:rsidR="00FA7D95" w:rsidRPr="005A2D63" w:rsidTr="00FA7D95">
        <w:trPr>
          <w:trHeight w:val="330"/>
        </w:trPr>
        <w:tc>
          <w:tcPr>
            <w:tcW w:w="2530" w:type="dxa"/>
            <w:shd w:val="clear" w:color="auto" w:fill="auto"/>
            <w:noWrap/>
            <w:vAlign w:val="bottom"/>
          </w:tcPr>
          <w:p w:rsidR="00FA7D95" w:rsidRPr="005A2D63" w:rsidRDefault="00FA7D95" w:rsidP="00141860">
            <w:pPr>
              <w:spacing w:after="0"/>
              <w:rPr>
                <w:rFonts w:ascii="Times New Roman" w:hAnsi="Times New Roman"/>
                <w:sz w:val="24"/>
                <w:szCs w:val="24"/>
              </w:rPr>
            </w:pPr>
            <w:r w:rsidRPr="005A2D63">
              <w:rPr>
                <w:rFonts w:ascii="Times New Roman" w:hAnsi="Times New Roman"/>
                <w:sz w:val="24"/>
                <w:szCs w:val="24"/>
              </w:rPr>
              <w:t>Investment style (discretionary v. active)</w:t>
            </w:r>
          </w:p>
        </w:tc>
        <w:tc>
          <w:tcPr>
            <w:tcW w:w="1567" w:type="dxa"/>
            <w:shd w:val="clear" w:color="auto" w:fill="auto"/>
            <w:vAlign w:val="center"/>
          </w:tcPr>
          <w:p w:rsidR="00FA7D95" w:rsidRPr="005A2D63" w:rsidRDefault="00FA7D95" w:rsidP="00141860">
            <w:pPr>
              <w:spacing w:after="0"/>
              <w:rPr>
                <w:rFonts w:ascii="Times New Roman" w:hAnsi="Times New Roman"/>
                <w:sz w:val="24"/>
                <w:szCs w:val="24"/>
              </w:rPr>
            </w:pPr>
            <w:r w:rsidRPr="005A2D63">
              <w:rPr>
                <w:rFonts w:ascii="Times New Roman" w:hAnsi="Times New Roman"/>
                <w:sz w:val="24"/>
                <w:szCs w:val="24"/>
              </w:rPr>
              <w:t>2.73</w:t>
            </w:r>
          </w:p>
        </w:tc>
        <w:tc>
          <w:tcPr>
            <w:tcW w:w="1568" w:type="dxa"/>
            <w:shd w:val="clear" w:color="auto" w:fill="auto"/>
            <w:vAlign w:val="center"/>
          </w:tcPr>
          <w:p w:rsidR="00FA7D95" w:rsidRPr="005A2D63" w:rsidRDefault="00FA7D95" w:rsidP="00141860">
            <w:pPr>
              <w:spacing w:after="0"/>
              <w:rPr>
                <w:rFonts w:ascii="Times New Roman" w:hAnsi="Times New Roman"/>
                <w:sz w:val="24"/>
                <w:szCs w:val="24"/>
              </w:rPr>
            </w:pPr>
            <w:r w:rsidRPr="005A2D63">
              <w:rPr>
                <w:rFonts w:ascii="Times New Roman" w:hAnsi="Times New Roman"/>
                <w:sz w:val="24"/>
                <w:szCs w:val="24"/>
              </w:rPr>
              <w:t>2.33</w:t>
            </w:r>
          </w:p>
        </w:tc>
        <w:tc>
          <w:tcPr>
            <w:tcW w:w="1567" w:type="dxa"/>
            <w:shd w:val="clear" w:color="auto" w:fill="auto"/>
            <w:vAlign w:val="center"/>
          </w:tcPr>
          <w:p w:rsidR="00FA7D95" w:rsidRPr="005A2D63" w:rsidRDefault="00FA7D95" w:rsidP="00141860">
            <w:pPr>
              <w:spacing w:after="0"/>
              <w:rPr>
                <w:rFonts w:ascii="Times New Roman" w:hAnsi="Times New Roman"/>
                <w:sz w:val="24"/>
                <w:szCs w:val="24"/>
              </w:rPr>
            </w:pPr>
            <w:r w:rsidRPr="005A2D63">
              <w:rPr>
                <w:rFonts w:ascii="Times New Roman" w:hAnsi="Times New Roman"/>
                <w:sz w:val="24"/>
                <w:szCs w:val="24"/>
              </w:rPr>
              <w:t>2.98</w:t>
            </w:r>
          </w:p>
        </w:tc>
        <w:tc>
          <w:tcPr>
            <w:tcW w:w="1568" w:type="dxa"/>
            <w:shd w:val="clear" w:color="auto" w:fill="auto"/>
            <w:vAlign w:val="center"/>
          </w:tcPr>
          <w:p w:rsidR="00FA7D95" w:rsidRPr="005A2D63" w:rsidRDefault="00FA7D95" w:rsidP="00141860">
            <w:pPr>
              <w:spacing w:after="0"/>
              <w:rPr>
                <w:rFonts w:ascii="Times New Roman" w:hAnsi="Times New Roman"/>
                <w:sz w:val="24"/>
                <w:szCs w:val="24"/>
              </w:rPr>
            </w:pPr>
            <w:r w:rsidRPr="005A2D63">
              <w:rPr>
                <w:rFonts w:ascii="Times New Roman" w:hAnsi="Times New Roman"/>
                <w:sz w:val="24"/>
                <w:szCs w:val="24"/>
              </w:rPr>
              <w:t>3.90</w:t>
            </w:r>
          </w:p>
        </w:tc>
      </w:tr>
      <w:tr w:rsidR="00FA7D95" w:rsidRPr="005A2D63" w:rsidTr="00FA7D95">
        <w:trPr>
          <w:trHeight w:val="80"/>
        </w:trPr>
        <w:tc>
          <w:tcPr>
            <w:tcW w:w="2530" w:type="dxa"/>
            <w:tcBorders>
              <w:bottom w:val="dotDash" w:sz="4" w:space="0" w:color="auto"/>
            </w:tcBorders>
            <w:shd w:val="clear" w:color="auto" w:fill="auto"/>
            <w:noWrap/>
            <w:vAlign w:val="bottom"/>
          </w:tcPr>
          <w:p w:rsidR="00FA7D95" w:rsidRPr="005A2D63" w:rsidRDefault="00FA7D95" w:rsidP="00141860">
            <w:pPr>
              <w:spacing w:after="0"/>
              <w:rPr>
                <w:rFonts w:ascii="Times New Roman" w:hAnsi="Times New Roman"/>
                <w:sz w:val="24"/>
                <w:szCs w:val="24"/>
              </w:rPr>
            </w:pPr>
            <w:r w:rsidRPr="005A2D63">
              <w:rPr>
                <w:rFonts w:ascii="Times New Roman" w:hAnsi="Times New Roman"/>
                <w:sz w:val="24"/>
                <w:szCs w:val="24"/>
              </w:rPr>
              <w:t>Compensation (Commission v. AUM)</w:t>
            </w:r>
          </w:p>
        </w:tc>
        <w:tc>
          <w:tcPr>
            <w:tcW w:w="1567" w:type="dxa"/>
            <w:tcBorders>
              <w:bottom w:val="dotDash" w:sz="4" w:space="0" w:color="auto"/>
            </w:tcBorders>
            <w:shd w:val="clear" w:color="auto" w:fill="auto"/>
            <w:vAlign w:val="center"/>
          </w:tcPr>
          <w:p w:rsidR="00FA7D95" w:rsidRPr="005A2D63" w:rsidRDefault="00FA7D95" w:rsidP="00141860">
            <w:pPr>
              <w:spacing w:after="0"/>
              <w:rPr>
                <w:rFonts w:ascii="Times New Roman" w:hAnsi="Times New Roman"/>
                <w:sz w:val="24"/>
                <w:szCs w:val="24"/>
              </w:rPr>
            </w:pPr>
            <w:r w:rsidRPr="005A2D63">
              <w:rPr>
                <w:rFonts w:ascii="Times New Roman" w:hAnsi="Times New Roman"/>
                <w:sz w:val="24"/>
                <w:szCs w:val="24"/>
              </w:rPr>
              <w:t>3.55</w:t>
            </w:r>
          </w:p>
        </w:tc>
        <w:tc>
          <w:tcPr>
            <w:tcW w:w="1568" w:type="dxa"/>
            <w:tcBorders>
              <w:bottom w:val="dotDash" w:sz="4" w:space="0" w:color="auto"/>
            </w:tcBorders>
            <w:shd w:val="clear" w:color="auto" w:fill="auto"/>
            <w:vAlign w:val="center"/>
          </w:tcPr>
          <w:p w:rsidR="00FA7D95" w:rsidRPr="005A2D63" w:rsidRDefault="00FA7D95" w:rsidP="00141860">
            <w:pPr>
              <w:spacing w:after="0"/>
              <w:rPr>
                <w:rFonts w:ascii="Times New Roman" w:hAnsi="Times New Roman"/>
                <w:sz w:val="24"/>
                <w:szCs w:val="24"/>
              </w:rPr>
            </w:pPr>
            <w:r w:rsidRPr="005A2D63">
              <w:rPr>
                <w:rFonts w:ascii="Times New Roman" w:hAnsi="Times New Roman"/>
                <w:sz w:val="24"/>
                <w:szCs w:val="24"/>
              </w:rPr>
              <w:t>3.53</w:t>
            </w:r>
          </w:p>
        </w:tc>
        <w:tc>
          <w:tcPr>
            <w:tcW w:w="1567" w:type="dxa"/>
            <w:tcBorders>
              <w:bottom w:val="dotDash" w:sz="4" w:space="0" w:color="auto"/>
            </w:tcBorders>
            <w:shd w:val="clear" w:color="auto" w:fill="auto"/>
            <w:vAlign w:val="center"/>
          </w:tcPr>
          <w:p w:rsidR="00FA7D95" w:rsidRPr="005A2D63" w:rsidRDefault="00FA7D95" w:rsidP="00141860">
            <w:pPr>
              <w:spacing w:after="0"/>
              <w:rPr>
                <w:rFonts w:ascii="Times New Roman" w:hAnsi="Times New Roman"/>
                <w:sz w:val="24"/>
                <w:szCs w:val="24"/>
              </w:rPr>
            </w:pPr>
            <w:r w:rsidRPr="005A2D63">
              <w:rPr>
                <w:rFonts w:ascii="Times New Roman" w:hAnsi="Times New Roman"/>
                <w:sz w:val="24"/>
                <w:szCs w:val="24"/>
              </w:rPr>
              <w:t>3.25</w:t>
            </w:r>
          </w:p>
        </w:tc>
        <w:tc>
          <w:tcPr>
            <w:tcW w:w="1568" w:type="dxa"/>
            <w:tcBorders>
              <w:bottom w:val="dotDash" w:sz="4" w:space="0" w:color="auto"/>
            </w:tcBorders>
            <w:shd w:val="clear" w:color="auto" w:fill="auto"/>
            <w:vAlign w:val="center"/>
          </w:tcPr>
          <w:p w:rsidR="00FA7D95" w:rsidRPr="005A2D63" w:rsidRDefault="00FA7D95" w:rsidP="00141860">
            <w:pPr>
              <w:spacing w:after="0"/>
              <w:rPr>
                <w:rFonts w:ascii="Times New Roman" w:hAnsi="Times New Roman"/>
                <w:sz w:val="24"/>
                <w:szCs w:val="24"/>
              </w:rPr>
            </w:pPr>
            <w:r w:rsidRPr="005A2D63">
              <w:rPr>
                <w:rFonts w:ascii="Times New Roman" w:hAnsi="Times New Roman"/>
                <w:sz w:val="24"/>
                <w:szCs w:val="24"/>
              </w:rPr>
              <w:t>3.71</w:t>
            </w:r>
          </w:p>
        </w:tc>
      </w:tr>
      <w:tr w:rsidR="00FA7D95" w:rsidRPr="005A2D63" w:rsidTr="00FA7D95">
        <w:trPr>
          <w:trHeight w:val="330"/>
        </w:trPr>
        <w:tc>
          <w:tcPr>
            <w:tcW w:w="2530" w:type="dxa"/>
            <w:tcBorders>
              <w:top w:val="dotDash" w:sz="4" w:space="0" w:color="auto"/>
            </w:tcBorders>
            <w:shd w:val="clear" w:color="auto" w:fill="auto"/>
            <w:noWrap/>
            <w:vAlign w:val="bottom"/>
          </w:tcPr>
          <w:p w:rsidR="00FA7D95" w:rsidRPr="005A2D63" w:rsidRDefault="00FA7D95" w:rsidP="00141860">
            <w:pPr>
              <w:spacing w:after="0"/>
              <w:rPr>
                <w:rFonts w:ascii="Times New Roman" w:hAnsi="Times New Roman"/>
                <w:b/>
                <w:bCs/>
                <w:sz w:val="24"/>
                <w:szCs w:val="24"/>
              </w:rPr>
            </w:pPr>
          </w:p>
        </w:tc>
        <w:tc>
          <w:tcPr>
            <w:tcW w:w="1567" w:type="dxa"/>
            <w:tcBorders>
              <w:top w:val="dotDash" w:sz="4" w:space="0" w:color="auto"/>
            </w:tcBorders>
            <w:shd w:val="clear" w:color="auto" w:fill="auto"/>
            <w:noWrap/>
            <w:vAlign w:val="bottom"/>
          </w:tcPr>
          <w:p w:rsidR="00FA7D95" w:rsidRPr="005A2D63" w:rsidRDefault="00FA7D95" w:rsidP="00141860">
            <w:pPr>
              <w:spacing w:after="0"/>
              <w:rPr>
                <w:rFonts w:ascii="Times New Roman" w:hAnsi="Times New Roman"/>
                <w:sz w:val="24"/>
                <w:szCs w:val="24"/>
              </w:rPr>
            </w:pPr>
            <w:r w:rsidRPr="005A2D63">
              <w:rPr>
                <w:rFonts w:ascii="Times New Roman" w:hAnsi="Times New Roman"/>
                <w:sz w:val="24"/>
                <w:szCs w:val="24"/>
              </w:rPr>
              <w:t xml:space="preserve">　</w:t>
            </w:r>
          </w:p>
        </w:tc>
        <w:tc>
          <w:tcPr>
            <w:tcW w:w="1568" w:type="dxa"/>
            <w:tcBorders>
              <w:top w:val="dotDash" w:sz="4" w:space="0" w:color="auto"/>
            </w:tcBorders>
            <w:shd w:val="clear" w:color="auto" w:fill="auto"/>
            <w:noWrap/>
            <w:vAlign w:val="bottom"/>
          </w:tcPr>
          <w:p w:rsidR="00FA7D95" w:rsidRPr="005A2D63" w:rsidRDefault="00FA7D95" w:rsidP="00141860">
            <w:pPr>
              <w:spacing w:after="0"/>
              <w:rPr>
                <w:rFonts w:ascii="Times New Roman" w:hAnsi="Times New Roman"/>
                <w:sz w:val="24"/>
                <w:szCs w:val="24"/>
              </w:rPr>
            </w:pPr>
            <w:r w:rsidRPr="005A2D63">
              <w:rPr>
                <w:rFonts w:ascii="Times New Roman" w:hAnsi="Times New Roman"/>
                <w:sz w:val="24"/>
                <w:szCs w:val="24"/>
              </w:rPr>
              <w:t xml:space="preserve">　</w:t>
            </w:r>
          </w:p>
        </w:tc>
        <w:tc>
          <w:tcPr>
            <w:tcW w:w="1567" w:type="dxa"/>
            <w:tcBorders>
              <w:top w:val="dotDash" w:sz="4" w:space="0" w:color="auto"/>
            </w:tcBorders>
            <w:shd w:val="clear" w:color="auto" w:fill="auto"/>
            <w:noWrap/>
            <w:vAlign w:val="bottom"/>
          </w:tcPr>
          <w:p w:rsidR="00FA7D95" w:rsidRPr="005A2D63" w:rsidRDefault="00FA7D95" w:rsidP="00141860">
            <w:pPr>
              <w:spacing w:after="0"/>
              <w:rPr>
                <w:rFonts w:ascii="Times New Roman" w:hAnsi="Times New Roman"/>
                <w:sz w:val="24"/>
                <w:szCs w:val="24"/>
              </w:rPr>
            </w:pPr>
            <w:r w:rsidRPr="005A2D63">
              <w:rPr>
                <w:rFonts w:ascii="Times New Roman" w:hAnsi="Times New Roman"/>
                <w:sz w:val="24"/>
                <w:szCs w:val="24"/>
              </w:rPr>
              <w:t xml:space="preserve">　</w:t>
            </w:r>
          </w:p>
        </w:tc>
        <w:tc>
          <w:tcPr>
            <w:tcW w:w="1568" w:type="dxa"/>
            <w:tcBorders>
              <w:top w:val="dotDash" w:sz="4" w:space="0" w:color="auto"/>
            </w:tcBorders>
            <w:shd w:val="clear" w:color="auto" w:fill="auto"/>
            <w:noWrap/>
            <w:vAlign w:val="bottom"/>
          </w:tcPr>
          <w:p w:rsidR="00FA7D95" w:rsidRPr="005A2D63" w:rsidRDefault="00FA7D95" w:rsidP="00141860">
            <w:pPr>
              <w:spacing w:after="0"/>
              <w:rPr>
                <w:rFonts w:ascii="Times New Roman" w:hAnsi="Times New Roman"/>
                <w:sz w:val="24"/>
                <w:szCs w:val="24"/>
              </w:rPr>
            </w:pPr>
            <w:r w:rsidRPr="005A2D63">
              <w:rPr>
                <w:rFonts w:ascii="Times New Roman" w:hAnsi="Times New Roman"/>
                <w:sz w:val="24"/>
                <w:szCs w:val="24"/>
              </w:rPr>
              <w:t xml:space="preserve">　</w:t>
            </w:r>
          </w:p>
        </w:tc>
      </w:tr>
      <w:tr w:rsidR="00FA7D95" w:rsidRPr="005A2D63" w:rsidTr="00FA7D95">
        <w:trPr>
          <w:trHeight w:val="330"/>
        </w:trPr>
        <w:tc>
          <w:tcPr>
            <w:tcW w:w="2530" w:type="dxa"/>
            <w:shd w:val="clear" w:color="auto" w:fill="auto"/>
            <w:noWrap/>
            <w:vAlign w:val="bottom"/>
          </w:tcPr>
          <w:p w:rsidR="00FA7D95" w:rsidRPr="005A2D63" w:rsidRDefault="00FA7D95" w:rsidP="00141860">
            <w:pPr>
              <w:spacing w:after="0"/>
              <w:rPr>
                <w:rFonts w:ascii="Times New Roman" w:hAnsi="Times New Roman"/>
                <w:sz w:val="24"/>
                <w:szCs w:val="24"/>
              </w:rPr>
            </w:pPr>
            <w:r w:rsidRPr="005A2D63">
              <w:rPr>
                <w:rFonts w:ascii="Times New Roman" w:hAnsi="Times New Roman"/>
                <w:sz w:val="24"/>
                <w:szCs w:val="24"/>
              </w:rPr>
              <w:t xml:space="preserve">Preserve v. growth </w:t>
            </w:r>
          </w:p>
        </w:tc>
        <w:tc>
          <w:tcPr>
            <w:tcW w:w="1567" w:type="dxa"/>
            <w:shd w:val="clear" w:color="auto" w:fill="auto"/>
            <w:vAlign w:val="center"/>
          </w:tcPr>
          <w:p w:rsidR="00FA7D95" w:rsidRPr="005A2D63" w:rsidRDefault="00FA7D95" w:rsidP="00141860">
            <w:pPr>
              <w:spacing w:after="0"/>
              <w:rPr>
                <w:rFonts w:ascii="Times New Roman" w:hAnsi="Times New Roman"/>
                <w:sz w:val="24"/>
                <w:szCs w:val="24"/>
              </w:rPr>
            </w:pPr>
            <w:r w:rsidRPr="005A2D63">
              <w:rPr>
                <w:rFonts w:ascii="Times New Roman" w:hAnsi="Times New Roman"/>
                <w:sz w:val="24"/>
                <w:szCs w:val="24"/>
              </w:rPr>
              <w:t>2.08</w:t>
            </w:r>
          </w:p>
        </w:tc>
        <w:tc>
          <w:tcPr>
            <w:tcW w:w="1568" w:type="dxa"/>
            <w:shd w:val="clear" w:color="auto" w:fill="auto"/>
            <w:vAlign w:val="center"/>
          </w:tcPr>
          <w:p w:rsidR="00FA7D95" w:rsidRPr="005A2D63" w:rsidRDefault="00FA7D95" w:rsidP="00141860">
            <w:pPr>
              <w:spacing w:after="0"/>
              <w:rPr>
                <w:rFonts w:ascii="Times New Roman" w:hAnsi="Times New Roman"/>
                <w:sz w:val="24"/>
                <w:szCs w:val="24"/>
              </w:rPr>
            </w:pPr>
            <w:r w:rsidRPr="005A2D63">
              <w:rPr>
                <w:rFonts w:ascii="Times New Roman" w:hAnsi="Times New Roman"/>
                <w:sz w:val="24"/>
                <w:szCs w:val="24"/>
              </w:rPr>
              <w:t>3.49</w:t>
            </w:r>
          </w:p>
        </w:tc>
        <w:tc>
          <w:tcPr>
            <w:tcW w:w="1567" w:type="dxa"/>
            <w:shd w:val="clear" w:color="auto" w:fill="auto"/>
            <w:vAlign w:val="center"/>
          </w:tcPr>
          <w:p w:rsidR="00FA7D95" w:rsidRPr="005A2D63" w:rsidRDefault="00FA7D95" w:rsidP="00141860">
            <w:pPr>
              <w:spacing w:after="0"/>
              <w:rPr>
                <w:rFonts w:ascii="Times New Roman" w:hAnsi="Times New Roman"/>
                <w:sz w:val="24"/>
                <w:szCs w:val="24"/>
              </w:rPr>
            </w:pPr>
            <w:r w:rsidRPr="005A2D63">
              <w:rPr>
                <w:rFonts w:ascii="Times New Roman" w:hAnsi="Times New Roman"/>
                <w:sz w:val="24"/>
                <w:szCs w:val="24"/>
              </w:rPr>
              <w:t>3.75</w:t>
            </w:r>
          </w:p>
        </w:tc>
        <w:tc>
          <w:tcPr>
            <w:tcW w:w="1568" w:type="dxa"/>
            <w:shd w:val="clear" w:color="auto" w:fill="auto"/>
            <w:vAlign w:val="center"/>
          </w:tcPr>
          <w:p w:rsidR="00FA7D95" w:rsidRPr="005A2D63" w:rsidRDefault="00FA7D95" w:rsidP="00141860">
            <w:pPr>
              <w:spacing w:after="0"/>
              <w:rPr>
                <w:rFonts w:ascii="Times New Roman" w:hAnsi="Times New Roman"/>
                <w:sz w:val="24"/>
                <w:szCs w:val="24"/>
              </w:rPr>
            </w:pPr>
            <w:r w:rsidRPr="005A2D63">
              <w:rPr>
                <w:rFonts w:ascii="Times New Roman" w:hAnsi="Times New Roman"/>
                <w:sz w:val="24"/>
                <w:szCs w:val="24"/>
              </w:rPr>
              <w:t>4.20</w:t>
            </w:r>
          </w:p>
        </w:tc>
      </w:tr>
      <w:tr w:rsidR="00FA7D95" w:rsidRPr="005A2D63" w:rsidTr="00FA7D95">
        <w:trPr>
          <w:trHeight w:val="330"/>
        </w:trPr>
        <w:tc>
          <w:tcPr>
            <w:tcW w:w="2530" w:type="dxa"/>
            <w:tcBorders>
              <w:bottom w:val="dotDash" w:sz="4" w:space="0" w:color="auto"/>
            </w:tcBorders>
            <w:shd w:val="clear" w:color="auto" w:fill="auto"/>
            <w:noWrap/>
            <w:vAlign w:val="bottom"/>
          </w:tcPr>
          <w:p w:rsidR="00FA7D95" w:rsidRPr="005A2D63" w:rsidRDefault="00FA7D95" w:rsidP="00141860">
            <w:pPr>
              <w:spacing w:after="0"/>
              <w:rPr>
                <w:rFonts w:ascii="Times New Roman" w:hAnsi="Times New Roman"/>
                <w:sz w:val="24"/>
                <w:szCs w:val="24"/>
              </w:rPr>
            </w:pPr>
            <w:r w:rsidRPr="005A2D63">
              <w:rPr>
                <w:rFonts w:ascii="Times New Roman" w:hAnsi="Times New Roman"/>
                <w:sz w:val="24"/>
                <w:szCs w:val="24"/>
              </w:rPr>
              <w:t>Attitude towards risks</w:t>
            </w:r>
          </w:p>
        </w:tc>
        <w:tc>
          <w:tcPr>
            <w:tcW w:w="1567" w:type="dxa"/>
            <w:tcBorders>
              <w:bottom w:val="dotDash" w:sz="4" w:space="0" w:color="auto"/>
            </w:tcBorders>
            <w:shd w:val="clear" w:color="auto" w:fill="auto"/>
            <w:vAlign w:val="center"/>
          </w:tcPr>
          <w:p w:rsidR="00FA7D95" w:rsidRPr="005A2D63" w:rsidRDefault="00FA7D95" w:rsidP="00141860">
            <w:pPr>
              <w:spacing w:after="0"/>
              <w:rPr>
                <w:rFonts w:ascii="Times New Roman" w:hAnsi="Times New Roman"/>
                <w:sz w:val="24"/>
                <w:szCs w:val="24"/>
              </w:rPr>
            </w:pPr>
            <w:r w:rsidRPr="005A2D63">
              <w:rPr>
                <w:rFonts w:ascii="Times New Roman" w:hAnsi="Times New Roman"/>
                <w:sz w:val="24"/>
                <w:szCs w:val="24"/>
              </w:rPr>
              <w:t>1.80</w:t>
            </w:r>
          </w:p>
        </w:tc>
        <w:tc>
          <w:tcPr>
            <w:tcW w:w="1568" w:type="dxa"/>
            <w:tcBorders>
              <w:bottom w:val="dotDash" w:sz="4" w:space="0" w:color="auto"/>
            </w:tcBorders>
            <w:shd w:val="clear" w:color="auto" w:fill="auto"/>
            <w:vAlign w:val="center"/>
          </w:tcPr>
          <w:p w:rsidR="00FA7D95" w:rsidRPr="005A2D63" w:rsidRDefault="00FA7D95" w:rsidP="00141860">
            <w:pPr>
              <w:spacing w:after="0"/>
              <w:rPr>
                <w:rFonts w:ascii="Times New Roman" w:hAnsi="Times New Roman"/>
                <w:sz w:val="24"/>
                <w:szCs w:val="24"/>
              </w:rPr>
            </w:pPr>
            <w:r w:rsidRPr="005A2D63">
              <w:rPr>
                <w:rFonts w:ascii="Times New Roman" w:hAnsi="Times New Roman"/>
                <w:sz w:val="24"/>
                <w:szCs w:val="24"/>
              </w:rPr>
              <w:t>2.78</w:t>
            </w:r>
          </w:p>
        </w:tc>
        <w:tc>
          <w:tcPr>
            <w:tcW w:w="1567" w:type="dxa"/>
            <w:tcBorders>
              <w:bottom w:val="dotDash" w:sz="4" w:space="0" w:color="auto"/>
            </w:tcBorders>
            <w:shd w:val="clear" w:color="auto" w:fill="auto"/>
            <w:vAlign w:val="center"/>
          </w:tcPr>
          <w:p w:rsidR="00FA7D95" w:rsidRPr="005A2D63" w:rsidRDefault="00FA7D95" w:rsidP="00141860">
            <w:pPr>
              <w:spacing w:after="0"/>
              <w:rPr>
                <w:rFonts w:ascii="Times New Roman" w:hAnsi="Times New Roman"/>
                <w:sz w:val="24"/>
                <w:szCs w:val="24"/>
              </w:rPr>
            </w:pPr>
            <w:r w:rsidRPr="005A2D63">
              <w:rPr>
                <w:rFonts w:ascii="Times New Roman" w:hAnsi="Times New Roman"/>
                <w:sz w:val="24"/>
                <w:szCs w:val="24"/>
              </w:rPr>
              <w:t>2.76</w:t>
            </w:r>
          </w:p>
        </w:tc>
        <w:tc>
          <w:tcPr>
            <w:tcW w:w="1568" w:type="dxa"/>
            <w:tcBorders>
              <w:bottom w:val="dotDash" w:sz="4" w:space="0" w:color="auto"/>
            </w:tcBorders>
            <w:shd w:val="clear" w:color="auto" w:fill="auto"/>
            <w:vAlign w:val="center"/>
          </w:tcPr>
          <w:p w:rsidR="00FA7D95" w:rsidRPr="005A2D63" w:rsidRDefault="00FA7D95" w:rsidP="00141860">
            <w:pPr>
              <w:spacing w:after="0"/>
              <w:rPr>
                <w:rFonts w:ascii="Times New Roman" w:hAnsi="Times New Roman"/>
                <w:sz w:val="24"/>
                <w:szCs w:val="24"/>
              </w:rPr>
            </w:pPr>
            <w:r w:rsidRPr="005A2D63">
              <w:rPr>
                <w:rFonts w:ascii="Times New Roman" w:hAnsi="Times New Roman"/>
                <w:sz w:val="24"/>
                <w:szCs w:val="24"/>
              </w:rPr>
              <w:t>3.47</w:t>
            </w:r>
          </w:p>
        </w:tc>
      </w:tr>
      <w:tr w:rsidR="00FA7D95" w:rsidRPr="005A2D63" w:rsidTr="00FA7D95">
        <w:trPr>
          <w:trHeight w:val="330"/>
        </w:trPr>
        <w:tc>
          <w:tcPr>
            <w:tcW w:w="2530" w:type="dxa"/>
            <w:tcBorders>
              <w:top w:val="dotDash" w:sz="4" w:space="0" w:color="auto"/>
            </w:tcBorders>
            <w:shd w:val="clear" w:color="auto" w:fill="auto"/>
            <w:noWrap/>
            <w:vAlign w:val="bottom"/>
          </w:tcPr>
          <w:p w:rsidR="00FA7D95" w:rsidRPr="005A2D63" w:rsidRDefault="00FA7D95" w:rsidP="00141860">
            <w:pPr>
              <w:spacing w:after="0"/>
              <w:rPr>
                <w:rFonts w:ascii="Times New Roman" w:hAnsi="Times New Roman"/>
                <w:b/>
                <w:bCs/>
                <w:sz w:val="24"/>
                <w:szCs w:val="24"/>
              </w:rPr>
            </w:pPr>
          </w:p>
        </w:tc>
        <w:tc>
          <w:tcPr>
            <w:tcW w:w="1567" w:type="dxa"/>
            <w:tcBorders>
              <w:top w:val="dotDash" w:sz="4" w:space="0" w:color="auto"/>
            </w:tcBorders>
            <w:shd w:val="clear" w:color="auto" w:fill="auto"/>
            <w:noWrap/>
            <w:vAlign w:val="bottom"/>
          </w:tcPr>
          <w:p w:rsidR="00FA7D95" w:rsidRPr="005A2D63" w:rsidRDefault="00FA7D95" w:rsidP="00141860">
            <w:pPr>
              <w:spacing w:after="0"/>
              <w:rPr>
                <w:rFonts w:ascii="Times New Roman" w:hAnsi="Times New Roman"/>
                <w:sz w:val="24"/>
                <w:szCs w:val="24"/>
              </w:rPr>
            </w:pPr>
            <w:r w:rsidRPr="005A2D63">
              <w:rPr>
                <w:rFonts w:ascii="Times New Roman" w:hAnsi="Times New Roman"/>
                <w:sz w:val="24"/>
                <w:szCs w:val="24"/>
              </w:rPr>
              <w:t xml:space="preserve">　</w:t>
            </w:r>
          </w:p>
        </w:tc>
        <w:tc>
          <w:tcPr>
            <w:tcW w:w="1568" w:type="dxa"/>
            <w:tcBorders>
              <w:top w:val="dotDash" w:sz="4" w:space="0" w:color="auto"/>
            </w:tcBorders>
            <w:shd w:val="clear" w:color="auto" w:fill="auto"/>
            <w:noWrap/>
            <w:vAlign w:val="bottom"/>
          </w:tcPr>
          <w:p w:rsidR="00FA7D95" w:rsidRPr="005A2D63" w:rsidRDefault="00FA7D95" w:rsidP="00141860">
            <w:pPr>
              <w:spacing w:after="0"/>
              <w:rPr>
                <w:rFonts w:ascii="Times New Roman" w:hAnsi="Times New Roman"/>
                <w:sz w:val="24"/>
                <w:szCs w:val="24"/>
              </w:rPr>
            </w:pPr>
            <w:r w:rsidRPr="005A2D63">
              <w:rPr>
                <w:rFonts w:ascii="Times New Roman" w:hAnsi="Times New Roman"/>
                <w:sz w:val="24"/>
                <w:szCs w:val="24"/>
              </w:rPr>
              <w:t xml:space="preserve">　</w:t>
            </w:r>
          </w:p>
        </w:tc>
        <w:tc>
          <w:tcPr>
            <w:tcW w:w="1567" w:type="dxa"/>
            <w:tcBorders>
              <w:top w:val="dotDash" w:sz="4" w:space="0" w:color="auto"/>
            </w:tcBorders>
            <w:shd w:val="clear" w:color="auto" w:fill="auto"/>
            <w:noWrap/>
            <w:vAlign w:val="bottom"/>
          </w:tcPr>
          <w:p w:rsidR="00FA7D95" w:rsidRPr="005A2D63" w:rsidRDefault="00FA7D95" w:rsidP="00141860">
            <w:pPr>
              <w:spacing w:after="0"/>
              <w:rPr>
                <w:rFonts w:ascii="Times New Roman" w:hAnsi="Times New Roman"/>
                <w:sz w:val="24"/>
                <w:szCs w:val="24"/>
              </w:rPr>
            </w:pPr>
            <w:r w:rsidRPr="005A2D63">
              <w:rPr>
                <w:rFonts w:ascii="Times New Roman" w:hAnsi="Times New Roman"/>
                <w:sz w:val="24"/>
                <w:szCs w:val="24"/>
              </w:rPr>
              <w:t xml:space="preserve">　</w:t>
            </w:r>
          </w:p>
        </w:tc>
        <w:tc>
          <w:tcPr>
            <w:tcW w:w="1568" w:type="dxa"/>
            <w:tcBorders>
              <w:top w:val="dotDash" w:sz="4" w:space="0" w:color="auto"/>
            </w:tcBorders>
            <w:shd w:val="clear" w:color="auto" w:fill="auto"/>
            <w:noWrap/>
            <w:vAlign w:val="bottom"/>
          </w:tcPr>
          <w:p w:rsidR="00FA7D95" w:rsidRPr="005A2D63" w:rsidRDefault="00FA7D95" w:rsidP="00141860">
            <w:pPr>
              <w:spacing w:after="0"/>
              <w:rPr>
                <w:rFonts w:ascii="Times New Roman" w:hAnsi="Times New Roman"/>
                <w:sz w:val="24"/>
                <w:szCs w:val="24"/>
              </w:rPr>
            </w:pPr>
            <w:r w:rsidRPr="005A2D63">
              <w:rPr>
                <w:rFonts w:ascii="Times New Roman" w:hAnsi="Times New Roman"/>
                <w:sz w:val="24"/>
                <w:szCs w:val="24"/>
              </w:rPr>
              <w:t xml:space="preserve">　</w:t>
            </w:r>
          </w:p>
        </w:tc>
      </w:tr>
      <w:tr w:rsidR="00FA7D95" w:rsidRPr="005A2D63" w:rsidTr="00FA7D95">
        <w:trPr>
          <w:trHeight w:val="330"/>
        </w:trPr>
        <w:tc>
          <w:tcPr>
            <w:tcW w:w="2530" w:type="dxa"/>
            <w:shd w:val="clear" w:color="auto" w:fill="auto"/>
            <w:noWrap/>
            <w:vAlign w:val="bottom"/>
          </w:tcPr>
          <w:p w:rsidR="00FA7D95" w:rsidRPr="005A2D63" w:rsidRDefault="00FA7D95" w:rsidP="00141860">
            <w:pPr>
              <w:spacing w:after="0"/>
              <w:rPr>
                <w:rFonts w:ascii="Times New Roman" w:hAnsi="Times New Roman"/>
                <w:sz w:val="24"/>
                <w:szCs w:val="24"/>
              </w:rPr>
            </w:pPr>
            <w:r w:rsidRPr="005A2D63">
              <w:rPr>
                <w:rFonts w:ascii="Times New Roman" w:hAnsi="Times New Roman"/>
                <w:sz w:val="24"/>
                <w:szCs w:val="24"/>
              </w:rPr>
              <w:t xml:space="preserve">Use of novel instruments </w:t>
            </w:r>
          </w:p>
        </w:tc>
        <w:tc>
          <w:tcPr>
            <w:tcW w:w="1567" w:type="dxa"/>
            <w:shd w:val="clear" w:color="auto" w:fill="auto"/>
            <w:vAlign w:val="center"/>
          </w:tcPr>
          <w:p w:rsidR="00FA7D95" w:rsidRPr="005A2D63" w:rsidRDefault="00FA7D95" w:rsidP="00141860">
            <w:pPr>
              <w:spacing w:after="0"/>
              <w:rPr>
                <w:rFonts w:ascii="Times New Roman" w:hAnsi="Times New Roman"/>
                <w:sz w:val="24"/>
                <w:szCs w:val="24"/>
              </w:rPr>
            </w:pPr>
            <w:r w:rsidRPr="005A2D63">
              <w:rPr>
                <w:rFonts w:ascii="Times New Roman" w:hAnsi="Times New Roman"/>
                <w:sz w:val="24"/>
                <w:szCs w:val="24"/>
              </w:rPr>
              <w:t>2.02</w:t>
            </w:r>
          </w:p>
        </w:tc>
        <w:tc>
          <w:tcPr>
            <w:tcW w:w="1568" w:type="dxa"/>
            <w:shd w:val="clear" w:color="auto" w:fill="auto"/>
            <w:vAlign w:val="center"/>
          </w:tcPr>
          <w:p w:rsidR="00FA7D95" w:rsidRPr="005A2D63" w:rsidRDefault="00FA7D95" w:rsidP="00141860">
            <w:pPr>
              <w:spacing w:after="0"/>
              <w:rPr>
                <w:rFonts w:ascii="Times New Roman" w:hAnsi="Times New Roman"/>
                <w:sz w:val="24"/>
                <w:szCs w:val="24"/>
              </w:rPr>
            </w:pPr>
            <w:r w:rsidRPr="005A2D63">
              <w:rPr>
                <w:rFonts w:ascii="Times New Roman" w:hAnsi="Times New Roman"/>
                <w:sz w:val="24"/>
                <w:szCs w:val="24"/>
              </w:rPr>
              <w:t>3.06</w:t>
            </w:r>
          </w:p>
        </w:tc>
        <w:tc>
          <w:tcPr>
            <w:tcW w:w="1567" w:type="dxa"/>
            <w:shd w:val="clear" w:color="auto" w:fill="auto"/>
            <w:vAlign w:val="center"/>
          </w:tcPr>
          <w:p w:rsidR="00FA7D95" w:rsidRPr="005A2D63" w:rsidRDefault="00FA7D95" w:rsidP="00141860">
            <w:pPr>
              <w:spacing w:after="0"/>
              <w:rPr>
                <w:rFonts w:ascii="Times New Roman" w:hAnsi="Times New Roman"/>
                <w:sz w:val="24"/>
                <w:szCs w:val="24"/>
              </w:rPr>
            </w:pPr>
            <w:r w:rsidRPr="005A2D63">
              <w:rPr>
                <w:rFonts w:ascii="Times New Roman" w:hAnsi="Times New Roman"/>
                <w:sz w:val="24"/>
                <w:szCs w:val="24"/>
              </w:rPr>
              <w:t>2.86</w:t>
            </w:r>
          </w:p>
        </w:tc>
        <w:tc>
          <w:tcPr>
            <w:tcW w:w="1568" w:type="dxa"/>
            <w:shd w:val="clear" w:color="auto" w:fill="auto"/>
            <w:vAlign w:val="center"/>
          </w:tcPr>
          <w:p w:rsidR="00FA7D95" w:rsidRPr="005A2D63" w:rsidRDefault="00FA7D95" w:rsidP="00141860">
            <w:pPr>
              <w:spacing w:after="0"/>
              <w:rPr>
                <w:rFonts w:ascii="Times New Roman" w:hAnsi="Times New Roman"/>
                <w:sz w:val="24"/>
                <w:szCs w:val="24"/>
              </w:rPr>
            </w:pPr>
            <w:r w:rsidRPr="005A2D63">
              <w:rPr>
                <w:rFonts w:ascii="Times New Roman" w:hAnsi="Times New Roman"/>
                <w:sz w:val="24"/>
                <w:szCs w:val="24"/>
              </w:rPr>
              <w:t>3.53</w:t>
            </w:r>
          </w:p>
        </w:tc>
      </w:tr>
      <w:tr w:rsidR="00FA7D95" w:rsidRPr="005A2D63" w:rsidTr="00FA7D95">
        <w:trPr>
          <w:trHeight w:val="330"/>
        </w:trPr>
        <w:tc>
          <w:tcPr>
            <w:tcW w:w="2530" w:type="dxa"/>
            <w:shd w:val="clear" w:color="auto" w:fill="auto"/>
            <w:noWrap/>
            <w:vAlign w:val="bottom"/>
          </w:tcPr>
          <w:p w:rsidR="00FA7D95" w:rsidRPr="005A2D63" w:rsidRDefault="00FA7D95" w:rsidP="00141860">
            <w:pPr>
              <w:spacing w:after="0"/>
              <w:rPr>
                <w:rFonts w:ascii="Times New Roman" w:hAnsi="Times New Roman"/>
                <w:sz w:val="24"/>
                <w:szCs w:val="24"/>
              </w:rPr>
            </w:pPr>
            <w:r w:rsidRPr="005A2D63">
              <w:rPr>
                <w:rFonts w:ascii="Times New Roman" w:hAnsi="Times New Roman"/>
                <w:sz w:val="24"/>
                <w:szCs w:val="24"/>
              </w:rPr>
              <w:t xml:space="preserve">On-shore v. Off-shore </w:t>
            </w:r>
          </w:p>
        </w:tc>
        <w:tc>
          <w:tcPr>
            <w:tcW w:w="1567" w:type="dxa"/>
            <w:shd w:val="clear" w:color="auto" w:fill="auto"/>
            <w:vAlign w:val="center"/>
          </w:tcPr>
          <w:p w:rsidR="00FA7D95" w:rsidRPr="005A2D63" w:rsidRDefault="00FA7D95" w:rsidP="00141860">
            <w:pPr>
              <w:spacing w:after="0"/>
              <w:rPr>
                <w:rFonts w:ascii="Times New Roman" w:hAnsi="Times New Roman"/>
                <w:sz w:val="24"/>
                <w:szCs w:val="24"/>
              </w:rPr>
            </w:pPr>
            <w:r w:rsidRPr="005A2D63">
              <w:rPr>
                <w:rFonts w:ascii="Times New Roman" w:hAnsi="Times New Roman"/>
                <w:sz w:val="24"/>
                <w:szCs w:val="24"/>
              </w:rPr>
              <w:t>2.25</w:t>
            </w:r>
          </w:p>
        </w:tc>
        <w:tc>
          <w:tcPr>
            <w:tcW w:w="1568" w:type="dxa"/>
            <w:shd w:val="clear" w:color="auto" w:fill="auto"/>
            <w:vAlign w:val="center"/>
          </w:tcPr>
          <w:p w:rsidR="00FA7D95" w:rsidRPr="005A2D63" w:rsidRDefault="00FA7D95" w:rsidP="00141860">
            <w:pPr>
              <w:spacing w:after="0"/>
              <w:rPr>
                <w:rFonts w:ascii="Times New Roman" w:hAnsi="Times New Roman"/>
                <w:sz w:val="24"/>
                <w:szCs w:val="24"/>
              </w:rPr>
            </w:pPr>
            <w:r w:rsidRPr="005A2D63">
              <w:rPr>
                <w:rFonts w:ascii="Times New Roman" w:hAnsi="Times New Roman"/>
                <w:sz w:val="24"/>
                <w:szCs w:val="24"/>
              </w:rPr>
              <w:t>3.25</w:t>
            </w:r>
          </w:p>
        </w:tc>
        <w:tc>
          <w:tcPr>
            <w:tcW w:w="1567" w:type="dxa"/>
            <w:shd w:val="clear" w:color="auto" w:fill="auto"/>
            <w:vAlign w:val="center"/>
          </w:tcPr>
          <w:p w:rsidR="00FA7D95" w:rsidRPr="005A2D63" w:rsidRDefault="00FA7D95" w:rsidP="00141860">
            <w:pPr>
              <w:spacing w:after="0"/>
              <w:rPr>
                <w:rFonts w:ascii="Times New Roman" w:hAnsi="Times New Roman"/>
                <w:sz w:val="24"/>
                <w:szCs w:val="24"/>
              </w:rPr>
            </w:pPr>
            <w:r w:rsidRPr="005A2D63">
              <w:rPr>
                <w:rFonts w:ascii="Times New Roman" w:hAnsi="Times New Roman"/>
                <w:sz w:val="24"/>
                <w:szCs w:val="24"/>
              </w:rPr>
              <w:t>2.94</w:t>
            </w:r>
          </w:p>
        </w:tc>
        <w:tc>
          <w:tcPr>
            <w:tcW w:w="1568" w:type="dxa"/>
            <w:shd w:val="clear" w:color="auto" w:fill="auto"/>
            <w:vAlign w:val="center"/>
          </w:tcPr>
          <w:p w:rsidR="00FA7D95" w:rsidRPr="005A2D63" w:rsidRDefault="00FA7D95" w:rsidP="00141860">
            <w:pPr>
              <w:spacing w:after="0"/>
              <w:rPr>
                <w:rFonts w:ascii="Times New Roman" w:hAnsi="Times New Roman"/>
                <w:sz w:val="24"/>
                <w:szCs w:val="24"/>
              </w:rPr>
            </w:pPr>
            <w:r w:rsidRPr="005A2D63">
              <w:rPr>
                <w:rFonts w:ascii="Times New Roman" w:hAnsi="Times New Roman"/>
                <w:sz w:val="24"/>
                <w:szCs w:val="24"/>
              </w:rPr>
              <w:t>3.45</w:t>
            </w:r>
          </w:p>
        </w:tc>
      </w:tr>
      <w:tr w:rsidR="00FA7D95" w:rsidRPr="005A2D63" w:rsidTr="00FA7D95">
        <w:trPr>
          <w:trHeight w:val="330"/>
        </w:trPr>
        <w:tc>
          <w:tcPr>
            <w:tcW w:w="2530" w:type="dxa"/>
            <w:tcBorders>
              <w:bottom w:val="thickThinSmallGap" w:sz="24" w:space="0" w:color="auto"/>
            </w:tcBorders>
            <w:shd w:val="clear" w:color="auto" w:fill="auto"/>
            <w:noWrap/>
            <w:vAlign w:val="bottom"/>
          </w:tcPr>
          <w:p w:rsidR="00FA7D95" w:rsidRPr="005A2D63" w:rsidRDefault="00FA7D95" w:rsidP="00141860">
            <w:pPr>
              <w:spacing w:after="0"/>
              <w:rPr>
                <w:rFonts w:ascii="Times New Roman" w:hAnsi="Times New Roman"/>
                <w:sz w:val="24"/>
                <w:szCs w:val="24"/>
              </w:rPr>
            </w:pPr>
            <w:r w:rsidRPr="005A2D63">
              <w:rPr>
                <w:rFonts w:ascii="Times New Roman" w:hAnsi="Times New Roman"/>
                <w:sz w:val="24"/>
                <w:szCs w:val="24"/>
              </w:rPr>
              <w:t>Balance sheet focus</w:t>
            </w:r>
          </w:p>
        </w:tc>
        <w:tc>
          <w:tcPr>
            <w:tcW w:w="1567" w:type="dxa"/>
            <w:tcBorders>
              <w:bottom w:val="thickThinSmallGap" w:sz="24" w:space="0" w:color="auto"/>
            </w:tcBorders>
            <w:shd w:val="clear" w:color="auto" w:fill="auto"/>
            <w:vAlign w:val="center"/>
          </w:tcPr>
          <w:p w:rsidR="00FA7D95" w:rsidRPr="005A2D63" w:rsidRDefault="00FA7D95" w:rsidP="00141860">
            <w:pPr>
              <w:spacing w:after="0"/>
              <w:rPr>
                <w:rFonts w:ascii="Times New Roman" w:hAnsi="Times New Roman"/>
                <w:sz w:val="24"/>
                <w:szCs w:val="24"/>
              </w:rPr>
            </w:pPr>
            <w:r w:rsidRPr="005A2D63">
              <w:rPr>
                <w:rFonts w:ascii="Times New Roman" w:hAnsi="Times New Roman"/>
                <w:sz w:val="24"/>
                <w:szCs w:val="24"/>
              </w:rPr>
              <w:t>1.88</w:t>
            </w:r>
          </w:p>
        </w:tc>
        <w:tc>
          <w:tcPr>
            <w:tcW w:w="1568" w:type="dxa"/>
            <w:tcBorders>
              <w:bottom w:val="thickThinSmallGap" w:sz="24" w:space="0" w:color="auto"/>
            </w:tcBorders>
            <w:shd w:val="clear" w:color="auto" w:fill="auto"/>
            <w:vAlign w:val="center"/>
          </w:tcPr>
          <w:p w:rsidR="00FA7D95" w:rsidRPr="005A2D63" w:rsidRDefault="00FA7D95" w:rsidP="00141860">
            <w:pPr>
              <w:spacing w:after="0"/>
              <w:rPr>
                <w:rFonts w:ascii="Times New Roman" w:hAnsi="Times New Roman"/>
                <w:sz w:val="24"/>
                <w:szCs w:val="24"/>
              </w:rPr>
            </w:pPr>
            <w:r w:rsidRPr="005A2D63">
              <w:rPr>
                <w:rFonts w:ascii="Times New Roman" w:hAnsi="Times New Roman"/>
                <w:sz w:val="24"/>
                <w:szCs w:val="24"/>
              </w:rPr>
              <w:t>2.10</w:t>
            </w:r>
          </w:p>
        </w:tc>
        <w:tc>
          <w:tcPr>
            <w:tcW w:w="1567" w:type="dxa"/>
            <w:tcBorders>
              <w:bottom w:val="thickThinSmallGap" w:sz="24" w:space="0" w:color="auto"/>
            </w:tcBorders>
            <w:shd w:val="clear" w:color="auto" w:fill="auto"/>
            <w:vAlign w:val="center"/>
          </w:tcPr>
          <w:p w:rsidR="00FA7D95" w:rsidRPr="005A2D63" w:rsidRDefault="00FA7D95" w:rsidP="00141860">
            <w:pPr>
              <w:spacing w:after="0"/>
              <w:rPr>
                <w:rFonts w:ascii="Times New Roman" w:hAnsi="Times New Roman"/>
                <w:sz w:val="24"/>
                <w:szCs w:val="24"/>
              </w:rPr>
            </w:pPr>
            <w:r w:rsidRPr="005A2D63">
              <w:rPr>
                <w:rFonts w:ascii="Times New Roman" w:hAnsi="Times New Roman"/>
                <w:sz w:val="24"/>
                <w:szCs w:val="24"/>
              </w:rPr>
              <w:t>2.47</w:t>
            </w:r>
          </w:p>
        </w:tc>
        <w:tc>
          <w:tcPr>
            <w:tcW w:w="1568" w:type="dxa"/>
            <w:tcBorders>
              <w:bottom w:val="thickThinSmallGap" w:sz="24" w:space="0" w:color="auto"/>
            </w:tcBorders>
            <w:shd w:val="clear" w:color="auto" w:fill="auto"/>
            <w:vAlign w:val="center"/>
          </w:tcPr>
          <w:p w:rsidR="00FA7D95" w:rsidRPr="005A2D63" w:rsidRDefault="00FA7D95" w:rsidP="00141860">
            <w:pPr>
              <w:spacing w:after="0"/>
              <w:rPr>
                <w:rFonts w:ascii="Times New Roman" w:hAnsi="Times New Roman"/>
                <w:sz w:val="24"/>
                <w:szCs w:val="24"/>
              </w:rPr>
            </w:pPr>
            <w:r w:rsidRPr="005A2D63">
              <w:rPr>
                <w:rFonts w:ascii="Times New Roman" w:hAnsi="Times New Roman"/>
                <w:sz w:val="24"/>
                <w:szCs w:val="24"/>
              </w:rPr>
              <w:t>4.37</w:t>
            </w:r>
          </w:p>
        </w:tc>
      </w:tr>
    </w:tbl>
    <w:p w:rsidR="00FA7D95" w:rsidRPr="005A2D63" w:rsidRDefault="00FA7D95" w:rsidP="00FA7D95">
      <w:pPr>
        <w:spacing w:before="100" w:beforeAutospacing="1" w:after="100" w:afterAutospacing="1" w:line="480" w:lineRule="auto"/>
        <w:rPr>
          <w:rFonts w:ascii="Times New Roman" w:hAnsi="Times New Roman"/>
          <w:sz w:val="24"/>
          <w:szCs w:val="24"/>
        </w:rPr>
      </w:pPr>
    </w:p>
    <w:p w:rsidR="00FA7D95" w:rsidRDefault="00FA7D95">
      <w:pPr>
        <w:spacing w:after="0"/>
        <w:rPr>
          <w:rFonts w:ascii="Times New Roman" w:hAnsi="Times New Roman"/>
          <w:sz w:val="24"/>
          <w:szCs w:val="24"/>
        </w:rPr>
      </w:pPr>
      <w:r>
        <w:rPr>
          <w:rFonts w:ascii="Times New Roman" w:hAnsi="Times New Roman"/>
          <w:sz w:val="24"/>
          <w:szCs w:val="24"/>
        </w:rPr>
        <w:br w:type="page"/>
      </w:r>
    </w:p>
    <w:p w:rsidR="00F47290" w:rsidRPr="006B5E0E" w:rsidRDefault="00F355F6" w:rsidP="006B5E0E">
      <w:pPr>
        <w:spacing w:line="480" w:lineRule="auto"/>
        <w:rPr>
          <w:rFonts w:ascii="Times New Roman" w:hAnsi="Times New Roman"/>
          <w:sz w:val="24"/>
          <w:szCs w:val="24"/>
        </w:rPr>
      </w:pPr>
      <w:r w:rsidRPr="006B5E0E">
        <w:rPr>
          <w:rFonts w:ascii="Times New Roman" w:hAnsi="Times New Roman"/>
          <w:sz w:val="24"/>
          <w:szCs w:val="24"/>
        </w:rPr>
        <w:lastRenderedPageBreak/>
        <w:t xml:space="preserve">Table </w:t>
      </w:r>
      <w:r w:rsidR="00C72559">
        <w:rPr>
          <w:rFonts w:ascii="Times New Roman" w:hAnsi="Times New Roman"/>
          <w:sz w:val="24"/>
          <w:szCs w:val="24"/>
        </w:rPr>
        <w:t>4</w:t>
      </w:r>
      <w:r w:rsidR="002C0401" w:rsidRPr="006B5E0E">
        <w:rPr>
          <w:rFonts w:ascii="Times New Roman" w:hAnsi="Times New Roman"/>
          <w:sz w:val="24"/>
          <w:szCs w:val="24"/>
        </w:rPr>
        <w:t>: Component Correlation Matrix</w:t>
      </w:r>
    </w:p>
    <w:tbl>
      <w:tblPr>
        <w:tblW w:w="8355" w:type="dxa"/>
        <w:tblInd w:w="93" w:type="dxa"/>
        <w:tblLook w:val="04A0"/>
      </w:tblPr>
      <w:tblGrid>
        <w:gridCol w:w="8355"/>
      </w:tblGrid>
      <w:tr w:rsidR="00805EE0" w:rsidRPr="006B5E0E" w:rsidTr="00805EE0">
        <w:trPr>
          <w:trHeight w:val="300"/>
        </w:trPr>
        <w:tc>
          <w:tcPr>
            <w:tcW w:w="8355" w:type="dxa"/>
            <w:tcBorders>
              <w:top w:val="nil"/>
              <w:left w:val="nil"/>
              <w:bottom w:val="nil"/>
              <w:right w:val="nil"/>
            </w:tcBorders>
            <w:shd w:val="clear" w:color="auto" w:fill="auto"/>
            <w:noWrap/>
            <w:vAlign w:val="bottom"/>
            <w:hideMark/>
          </w:tcPr>
          <w:tbl>
            <w:tblPr>
              <w:tblW w:w="8139" w:type="dxa"/>
              <w:tblLook w:val="04A0"/>
            </w:tblPr>
            <w:tblGrid>
              <w:gridCol w:w="2500"/>
              <w:gridCol w:w="1300"/>
              <w:gridCol w:w="1417"/>
              <w:gridCol w:w="1300"/>
              <w:gridCol w:w="1622"/>
            </w:tblGrid>
            <w:tr w:rsidR="00805EE0" w:rsidRPr="006B5E0E" w:rsidTr="00831BB5">
              <w:trPr>
                <w:trHeight w:val="300"/>
              </w:trPr>
              <w:tc>
                <w:tcPr>
                  <w:tcW w:w="2500" w:type="dxa"/>
                  <w:tcBorders>
                    <w:top w:val="nil"/>
                    <w:left w:val="nil"/>
                    <w:bottom w:val="nil"/>
                    <w:right w:val="nil"/>
                  </w:tcBorders>
                  <w:shd w:val="clear" w:color="auto" w:fill="auto"/>
                  <w:noWrap/>
                  <w:vAlign w:val="bottom"/>
                  <w:hideMark/>
                </w:tcPr>
                <w:p w:rsidR="00A233AD" w:rsidRPr="006B5E0E" w:rsidRDefault="00A233AD" w:rsidP="006B5E0E">
                  <w:pPr>
                    <w:spacing w:after="0" w:line="480" w:lineRule="auto"/>
                    <w:rPr>
                      <w:rFonts w:ascii="Times New Roman" w:eastAsia="Times New Roman" w:hAnsi="Times New Roman"/>
                      <w:color w:val="000000"/>
                      <w:sz w:val="24"/>
                      <w:szCs w:val="24"/>
                      <w:lang w:eastAsia="en-US"/>
                    </w:rPr>
                  </w:pPr>
                  <w:r w:rsidRPr="006B5E0E">
                    <w:rPr>
                      <w:rFonts w:ascii="Times New Roman" w:eastAsia="Times New Roman" w:hAnsi="Times New Roman"/>
                      <w:color w:val="000000"/>
                      <w:sz w:val="24"/>
                      <w:szCs w:val="24"/>
                      <w:lang w:eastAsia="en-US"/>
                    </w:rPr>
                    <w:t>Behavioral Characteristics</w:t>
                  </w:r>
                </w:p>
              </w:tc>
              <w:tc>
                <w:tcPr>
                  <w:tcW w:w="1300" w:type="dxa"/>
                  <w:tcBorders>
                    <w:top w:val="nil"/>
                    <w:left w:val="nil"/>
                    <w:bottom w:val="nil"/>
                    <w:right w:val="nil"/>
                  </w:tcBorders>
                  <w:shd w:val="clear" w:color="auto" w:fill="auto"/>
                  <w:noWrap/>
                  <w:vAlign w:val="bottom"/>
                  <w:hideMark/>
                </w:tcPr>
                <w:p w:rsidR="00805EE0" w:rsidRPr="006B5E0E" w:rsidRDefault="00805EE0" w:rsidP="006B5E0E">
                  <w:pPr>
                    <w:spacing w:after="0" w:line="480" w:lineRule="auto"/>
                    <w:rPr>
                      <w:rFonts w:ascii="Times New Roman" w:eastAsia="Times New Roman" w:hAnsi="Times New Roman"/>
                      <w:color w:val="000000"/>
                      <w:sz w:val="24"/>
                      <w:szCs w:val="24"/>
                      <w:lang w:eastAsia="en-US"/>
                    </w:rPr>
                  </w:pPr>
                  <w:r w:rsidRPr="006B5E0E">
                    <w:rPr>
                      <w:rFonts w:ascii="Times New Roman" w:eastAsia="Times New Roman" w:hAnsi="Times New Roman"/>
                      <w:color w:val="000000"/>
                      <w:sz w:val="24"/>
                      <w:szCs w:val="24"/>
                      <w:lang w:eastAsia="en-US"/>
                    </w:rPr>
                    <w:t>Endowed</w:t>
                  </w:r>
                </w:p>
              </w:tc>
              <w:tc>
                <w:tcPr>
                  <w:tcW w:w="1417" w:type="dxa"/>
                  <w:tcBorders>
                    <w:top w:val="nil"/>
                    <w:left w:val="nil"/>
                    <w:bottom w:val="nil"/>
                    <w:right w:val="nil"/>
                  </w:tcBorders>
                  <w:shd w:val="clear" w:color="auto" w:fill="auto"/>
                  <w:noWrap/>
                  <w:vAlign w:val="bottom"/>
                  <w:hideMark/>
                </w:tcPr>
                <w:p w:rsidR="00805EE0" w:rsidRPr="006B5E0E" w:rsidRDefault="00805EE0" w:rsidP="006B5E0E">
                  <w:pPr>
                    <w:spacing w:after="0" w:line="480" w:lineRule="auto"/>
                    <w:rPr>
                      <w:rFonts w:ascii="Times New Roman" w:eastAsia="Times New Roman" w:hAnsi="Times New Roman"/>
                      <w:color w:val="000000"/>
                      <w:sz w:val="24"/>
                      <w:szCs w:val="24"/>
                      <w:lang w:eastAsia="en-US"/>
                    </w:rPr>
                  </w:pPr>
                  <w:r w:rsidRPr="006B5E0E">
                    <w:rPr>
                      <w:rFonts w:ascii="Times New Roman" w:eastAsia="Times New Roman" w:hAnsi="Times New Roman"/>
                      <w:color w:val="000000"/>
                      <w:sz w:val="24"/>
                      <w:szCs w:val="24"/>
                      <w:lang w:eastAsia="en-US"/>
                    </w:rPr>
                    <w:t>Entertainers</w:t>
                  </w:r>
                </w:p>
              </w:tc>
              <w:tc>
                <w:tcPr>
                  <w:tcW w:w="1300" w:type="dxa"/>
                  <w:tcBorders>
                    <w:top w:val="nil"/>
                    <w:left w:val="nil"/>
                    <w:bottom w:val="nil"/>
                    <w:right w:val="nil"/>
                  </w:tcBorders>
                  <w:shd w:val="clear" w:color="auto" w:fill="auto"/>
                  <w:noWrap/>
                  <w:vAlign w:val="bottom"/>
                  <w:hideMark/>
                </w:tcPr>
                <w:p w:rsidR="00805EE0" w:rsidRPr="006B5E0E" w:rsidRDefault="00805EE0" w:rsidP="006B5E0E">
                  <w:pPr>
                    <w:spacing w:after="0" w:line="480" w:lineRule="auto"/>
                    <w:rPr>
                      <w:rFonts w:ascii="Times New Roman" w:eastAsia="Times New Roman" w:hAnsi="Times New Roman"/>
                      <w:color w:val="000000"/>
                      <w:sz w:val="24"/>
                      <w:szCs w:val="24"/>
                      <w:lang w:eastAsia="en-US"/>
                    </w:rPr>
                  </w:pPr>
                  <w:r w:rsidRPr="006B5E0E">
                    <w:rPr>
                      <w:rFonts w:ascii="Times New Roman" w:eastAsia="Times New Roman" w:hAnsi="Times New Roman"/>
                      <w:color w:val="000000"/>
                      <w:sz w:val="24"/>
                      <w:szCs w:val="24"/>
                      <w:lang w:eastAsia="en-US"/>
                    </w:rPr>
                    <w:t>Executives</w:t>
                  </w:r>
                </w:p>
              </w:tc>
              <w:tc>
                <w:tcPr>
                  <w:tcW w:w="1622" w:type="dxa"/>
                  <w:tcBorders>
                    <w:top w:val="nil"/>
                    <w:left w:val="nil"/>
                    <w:bottom w:val="nil"/>
                    <w:right w:val="nil"/>
                  </w:tcBorders>
                  <w:shd w:val="clear" w:color="auto" w:fill="auto"/>
                  <w:noWrap/>
                  <w:vAlign w:val="bottom"/>
                  <w:hideMark/>
                </w:tcPr>
                <w:p w:rsidR="00805EE0" w:rsidRPr="006B5E0E" w:rsidRDefault="00805EE0" w:rsidP="006B5E0E">
                  <w:pPr>
                    <w:spacing w:after="0" w:line="480" w:lineRule="auto"/>
                    <w:rPr>
                      <w:rFonts w:ascii="Times New Roman" w:eastAsia="Times New Roman" w:hAnsi="Times New Roman"/>
                      <w:color w:val="000000"/>
                      <w:sz w:val="24"/>
                      <w:szCs w:val="24"/>
                      <w:lang w:eastAsia="en-US"/>
                    </w:rPr>
                  </w:pPr>
                  <w:r w:rsidRPr="006B5E0E">
                    <w:rPr>
                      <w:rFonts w:ascii="Times New Roman" w:eastAsia="Times New Roman" w:hAnsi="Times New Roman"/>
                      <w:color w:val="000000"/>
                      <w:sz w:val="24"/>
                      <w:szCs w:val="24"/>
                      <w:lang w:eastAsia="en-US"/>
                    </w:rPr>
                    <w:t>Entrepreneurs</w:t>
                  </w:r>
                </w:p>
              </w:tc>
            </w:tr>
            <w:tr w:rsidR="00805EE0" w:rsidRPr="006B5E0E" w:rsidTr="00831BB5">
              <w:trPr>
                <w:trHeight w:val="300"/>
              </w:trPr>
              <w:tc>
                <w:tcPr>
                  <w:tcW w:w="2500" w:type="dxa"/>
                  <w:tcBorders>
                    <w:top w:val="nil"/>
                    <w:left w:val="nil"/>
                    <w:bottom w:val="nil"/>
                    <w:right w:val="nil"/>
                  </w:tcBorders>
                  <w:shd w:val="clear" w:color="auto" w:fill="auto"/>
                  <w:noWrap/>
                  <w:vAlign w:val="bottom"/>
                  <w:hideMark/>
                </w:tcPr>
                <w:p w:rsidR="00805EE0" w:rsidRPr="006B5E0E" w:rsidRDefault="00805EE0" w:rsidP="006B5E0E">
                  <w:pPr>
                    <w:spacing w:after="0" w:line="480" w:lineRule="auto"/>
                    <w:rPr>
                      <w:rFonts w:ascii="Times New Roman" w:eastAsia="Times New Roman" w:hAnsi="Times New Roman"/>
                      <w:color w:val="000000"/>
                      <w:sz w:val="24"/>
                      <w:szCs w:val="24"/>
                      <w:lang w:eastAsia="en-US"/>
                    </w:rPr>
                  </w:pPr>
                  <w:r w:rsidRPr="006B5E0E">
                    <w:rPr>
                      <w:rFonts w:ascii="Times New Roman" w:eastAsia="Times New Roman" w:hAnsi="Times New Roman"/>
                      <w:color w:val="000000"/>
                      <w:sz w:val="24"/>
                      <w:szCs w:val="24"/>
                      <w:lang w:eastAsia="en-US"/>
                    </w:rPr>
                    <w:t>Network Relationship</w:t>
                  </w:r>
                </w:p>
              </w:tc>
              <w:tc>
                <w:tcPr>
                  <w:tcW w:w="1300" w:type="dxa"/>
                  <w:tcBorders>
                    <w:top w:val="nil"/>
                    <w:left w:val="nil"/>
                    <w:bottom w:val="nil"/>
                    <w:right w:val="nil"/>
                  </w:tcBorders>
                  <w:shd w:val="clear" w:color="auto" w:fill="auto"/>
                  <w:noWrap/>
                  <w:vAlign w:val="bottom"/>
                  <w:hideMark/>
                </w:tcPr>
                <w:p w:rsidR="00805EE0" w:rsidRPr="006B5E0E" w:rsidRDefault="00805EE0" w:rsidP="006B5E0E">
                  <w:pPr>
                    <w:spacing w:after="0" w:line="480" w:lineRule="auto"/>
                    <w:jc w:val="right"/>
                    <w:rPr>
                      <w:rFonts w:ascii="Times New Roman" w:eastAsia="Times New Roman" w:hAnsi="Times New Roman"/>
                      <w:color w:val="000000"/>
                      <w:sz w:val="24"/>
                      <w:szCs w:val="24"/>
                      <w:lang w:eastAsia="en-US"/>
                    </w:rPr>
                  </w:pPr>
                  <w:r w:rsidRPr="006B5E0E">
                    <w:rPr>
                      <w:rFonts w:ascii="Times New Roman" w:eastAsia="Times New Roman" w:hAnsi="Times New Roman"/>
                      <w:color w:val="000000"/>
                      <w:sz w:val="24"/>
                      <w:szCs w:val="24"/>
                      <w:lang w:eastAsia="en-US"/>
                    </w:rPr>
                    <w:t>0.69</w:t>
                  </w:r>
                </w:p>
              </w:tc>
              <w:tc>
                <w:tcPr>
                  <w:tcW w:w="1417" w:type="dxa"/>
                  <w:tcBorders>
                    <w:top w:val="nil"/>
                    <w:left w:val="nil"/>
                    <w:bottom w:val="nil"/>
                    <w:right w:val="nil"/>
                  </w:tcBorders>
                  <w:shd w:val="clear" w:color="auto" w:fill="auto"/>
                  <w:noWrap/>
                  <w:vAlign w:val="bottom"/>
                  <w:hideMark/>
                </w:tcPr>
                <w:p w:rsidR="00805EE0" w:rsidRPr="006B5E0E" w:rsidRDefault="00805EE0" w:rsidP="006B5E0E">
                  <w:pPr>
                    <w:spacing w:after="0" w:line="480" w:lineRule="auto"/>
                    <w:jc w:val="right"/>
                    <w:rPr>
                      <w:rFonts w:ascii="Times New Roman" w:eastAsia="Times New Roman" w:hAnsi="Times New Roman"/>
                      <w:color w:val="000000"/>
                      <w:sz w:val="24"/>
                      <w:szCs w:val="24"/>
                      <w:lang w:eastAsia="en-US"/>
                    </w:rPr>
                  </w:pPr>
                  <w:r w:rsidRPr="006B5E0E">
                    <w:rPr>
                      <w:rFonts w:ascii="Times New Roman" w:eastAsia="Times New Roman" w:hAnsi="Times New Roman"/>
                      <w:color w:val="000000"/>
                      <w:sz w:val="24"/>
                      <w:szCs w:val="24"/>
                      <w:lang w:eastAsia="en-US"/>
                    </w:rPr>
                    <w:t>0.45</w:t>
                  </w:r>
                </w:p>
              </w:tc>
              <w:tc>
                <w:tcPr>
                  <w:tcW w:w="1300" w:type="dxa"/>
                  <w:tcBorders>
                    <w:top w:val="nil"/>
                    <w:left w:val="nil"/>
                    <w:bottom w:val="nil"/>
                    <w:right w:val="nil"/>
                  </w:tcBorders>
                  <w:shd w:val="clear" w:color="auto" w:fill="auto"/>
                  <w:noWrap/>
                  <w:vAlign w:val="bottom"/>
                  <w:hideMark/>
                </w:tcPr>
                <w:p w:rsidR="00805EE0" w:rsidRPr="006B5E0E" w:rsidRDefault="00805EE0" w:rsidP="006B5E0E">
                  <w:pPr>
                    <w:spacing w:after="0" w:line="480" w:lineRule="auto"/>
                    <w:jc w:val="right"/>
                    <w:rPr>
                      <w:rFonts w:ascii="Times New Roman" w:eastAsia="Times New Roman" w:hAnsi="Times New Roman"/>
                      <w:b/>
                      <w:color w:val="000000"/>
                      <w:sz w:val="24"/>
                      <w:szCs w:val="24"/>
                      <w:u w:val="single"/>
                      <w:lang w:eastAsia="en-US"/>
                    </w:rPr>
                  </w:pPr>
                  <w:r w:rsidRPr="006B5E0E">
                    <w:rPr>
                      <w:rFonts w:ascii="Times New Roman" w:eastAsia="Times New Roman" w:hAnsi="Times New Roman"/>
                      <w:b/>
                      <w:color w:val="000000"/>
                      <w:sz w:val="24"/>
                      <w:szCs w:val="24"/>
                      <w:u w:val="single"/>
                      <w:lang w:eastAsia="en-US"/>
                    </w:rPr>
                    <w:t>0.74</w:t>
                  </w:r>
                </w:p>
              </w:tc>
              <w:tc>
                <w:tcPr>
                  <w:tcW w:w="1622" w:type="dxa"/>
                  <w:tcBorders>
                    <w:top w:val="nil"/>
                    <w:left w:val="nil"/>
                    <w:bottom w:val="nil"/>
                    <w:right w:val="nil"/>
                  </w:tcBorders>
                  <w:shd w:val="clear" w:color="auto" w:fill="auto"/>
                  <w:noWrap/>
                  <w:vAlign w:val="bottom"/>
                  <w:hideMark/>
                </w:tcPr>
                <w:p w:rsidR="00805EE0" w:rsidRPr="006B5E0E" w:rsidRDefault="00805EE0" w:rsidP="006B5E0E">
                  <w:pPr>
                    <w:spacing w:after="0" w:line="480" w:lineRule="auto"/>
                    <w:jc w:val="right"/>
                    <w:rPr>
                      <w:rFonts w:ascii="Times New Roman" w:eastAsia="Times New Roman" w:hAnsi="Times New Roman"/>
                      <w:color w:val="000000"/>
                      <w:sz w:val="24"/>
                      <w:szCs w:val="24"/>
                      <w:lang w:eastAsia="en-US"/>
                    </w:rPr>
                  </w:pPr>
                  <w:r w:rsidRPr="006B5E0E">
                    <w:rPr>
                      <w:rFonts w:ascii="Times New Roman" w:eastAsia="Times New Roman" w:hAnsi="Times New Roman"/>
                      <w:color w:val="000000"/>
                      <w:sz w:val="24"/>
                      <w:szCs w:val="24"/>
                      <w:lang w:eastAsia="en-US"/>
                    </w:rPr>
                    <w:t>0.31</w:t>
                  </w:r>
                </w:p>
              </w:tc>
            </w:tr>
            <w:tr w:rsidR="00805EE0" w:rsidRPr="006B5E0E" w:rsidTr="00831BB5">
              <w:trPr>
                <w:trHeight w:val="300"/>
              </w:trPr>
              <w:tc>
                <w:tcPr>
                  <w:tcW w:w="2500" w:type="dxa"/>
                  <w:tcBorders>
                    <w:top w:val="nil"/>
                    <w:left w:val="nil"/>
                    <w:bottom w:val="nil"/>
                    <w:right w:val="nil"/>
                  </w:tcBorders>
                  <w:shd w:val="clear" w:color="auto" w:fill="auto"/>
                  <w:noWrap/>
                  <w:vAlign w:val="bottom"/>
                  <w:hideMark/>
                </w:tcPr>
                <w:p w:rsidR="00805EE0" w:rsidRPr="006B5E0E" w:rsidRDefault="00805EE0" w:rsidP="006B5E0E">
                  <w:pPr>
                    <w:spacing w:after="0" w:line="480" w:lineRule="auto"/>
                    <w:rPr>
                      <w:rFonts w:ascii="Times New Roman" w:eastAsia="Times New Roman" w:hAnsi="Times New Roman"/>
                      <w:color w:val="000000"/>
                      <w:sz w:val="24"/>
                      <w:szCs w:val="24"/>
                      <w:lang w:eastAsia="en-US"/>
                    </w:rPr>
                  </w:pPr>
                  <w:r w:rsidRPr="006B5E0E">
                    <w:rPr>
                      <w:rFonts w:ascii="Times New Roman" w:eastAsia="Times New Roman" w:hAnsi="Times New Roman"/>
                      <w:color w:val="000000"/>
                      <w:sz w:val="24"/>
                      <w:szCs w:val="24"/>
                      <w:lang w:eastAsia="en-US"/>
                    </w:rPr>
                    <w:t>Legacy Relationship</w:t>
                  </w:r>
                </w:p>
              </w:tc>
              <w:tc>
                <w:tcPr>
                  <w:tcW w:w="1300" w:type="dxa"/>
                  <w:tcBorders>
                    <w:top w:val="nil"/>
                    <w:left w:val="nil"/>
                    <w:bottom w:val="nil"/>
                    <w:right w:val="nil"/>
                  </w:tcBorders>
                  <w:shd w:val="clear" w:color="auto" w:fill="auto"/>
                  <w:noWrap/>
                  <w:vAlign w:val="bottom"/>
                  <w:hideMark/>
                </w:tcPr>
                <w:p w:rsidR="00805EE0" w:rsidRPr="006B5E0E" w:rsidRDefault="00805EE0" w:rsidP="006B5E0E">
                  <w:pPr>
                    <w:spacing w:after="0" w:line="480" w:lineRule="auto"/>
                    <w:jc w:val="right"/>
                    <w:rPr>
                      <w:rFonts w:ascii="Times New Roman" w:eastAsia="Times New Roman" w:hAnsi="Times New Roman"/>
                      <w:color w:val="000000"/>
                      <w:sz w:val="24"/>
                      <w:szCs w:val="24"/>
                      <w:lang w:eastAsia="en-US"/>
                    </w:rPr>
                  </w:pPr>
                  <w:r w:rsidRPr="006B5E0E">
                    <w:rPr>
                      <w:rFonts w:ascii="Times New Roman" w:eastAsia="Times New Roman" w:hAnsi="Times New Roman"/>
                      <w:color w:val="000000"/>
                      <w:sz w:val="24"/>
                      <w:szCs w:val="24"/>
                      <w:lang w:eastAsia="en-US"/>
                    </w:rPr>
                    <w:t>0.5</w:t>
                  </w:r>
                </w:p>
              </w:tc>
              <w:tc>
                <w:tcPr>
                  <w:tcW w:w="1417" w:type="dxa"/>
                  <w:tcBorders>
                    <w:top w:val="nil"/>
                    <w:left w:val="nil"/>
                    <w:bottom w:val="nil"/>
                    <w:right w:val="nil"/>
                  </w:tcBorders>
                  <w:shd w:val="clear" w:color="auto" w:fill="auto"/>
                  <w:noWrap/>
                  <w:vAlign w:val="bottom"/>
                  <w:hideMark/>
                </w:tcPr>
                <w:p w:rsidR="00805EE0" w:rsidRPr="006B5E0E" w:rsidRDefault="00805EE0" w:rsidP="006B5E0E">
                  <w:pPr>
                    <w:spacing w:after="0" w:line="480" w:lineRule="auto"/>
                    <w:jc w:val="right"/>
                    <w:rPr>
                      <w:rFonts w:ascii="Times New Roman" w:eastAsia="Times New Roman" w:hAnsi="Times New Roman"/>
                      <w:color w:val="000000"/>
                      <w:sz w:val="24"/>
                      <w:szCs w:val="24"/>
                      <w:lang w:eastAsia="en-US"/>
                    </w:rPr>
                  </w:pPr>
                  <w:r w:rsidRPr="006B5E0E">
                    <w:rPr>
                      <w:rFonts w:ascii="Times New Roman" w:eastAsia="Times New Roman" w:hAnsi="Times New Roman"/>
                      <w:color w:val="000000"/>
                      <w:sz w:val="24"/>
                      <w:szCs w:val="24"/>
                      <w:lang w:eastAsia="en-US"/>
                    </w:rPr>
                    <w:t>0.3</w:t>
                  </w:r>
                </w:p>
              </w:tc>
              <w:tc>
                <w:tcPr>
                  <w:tcW w:w="1300" w:type="dxa"/>
                  <w:tcBorders>
                    <w:top w:val="nil"/>
                    <w:left w:val="nil"/>
                    <w:bottom w:val="nil"/>
                    <w:right w:val="nil"/>
                  </w:tcBorders>
                  <w:shd w:val="clear" w:color="auto" w:fill="auto"/>
                  <w:noWrap/>
                  <w:vAlign w:val="bottom"/>
                  <w:hideMark/>
                </w:tcPr>
                <w:p w:rsidR="00805EE0" w:rsidRPr="006B5E0E" w:rsidRDefault="00805EE0" w:rsidP="006B5E0E">
                  <w:pPr>
                    <w:spacing w:after="0" w:line="480" w:lineRule="auto"/>
                    <w:jc w:val="right"/>
                    <w:rPr>
                      <w:rFonts w:ascii="Times New Roman" w:eastAsia="Times New Roman" w:hAnsi="Times New Roman"/>
                      <w:color w:val="000000"/>
                      <w:sz w:val="24"/>
                      <w:szCs w:val="24"/>
                      <w:lang w:eastAsia="en-US"/>
                    </w:rPr>
                  </w:pPr>
                  <w:r w:rsidRPr="006B5E0E">
                    <w:rPr>
                      <w:rFonts w:ascii="Times New Roman" w:eastAsia="Times New Roman" w:hAnsi="Times New Roman"/>
                      <w:color w:val="000000"/>
                      <w:sz w:val="24"/>
                      <w:szCs w:val="24"/>
                      <w:lang w:eastAsia="en-US"/>
                    </w:rPr>
                    <w:t>0.54</w:t>
                  </w:r>
                </w:p>
              </w:tc>
              <w:tc>
                <w:tcPr>
                  <w:tcW w:w="1622" w:type="dxa"/>
                  <w:tcBorders>
                    <w:top w:val="nil"/>
                    <w:left w:val="nil"/>
                    <w:bottom w:val="nil"/>
                    <w:right w:val="nil"/>
                  </w:tcBorders>
                  <w:shd w:val="clear" w:color="auto" w:fill="auto"/>
                  <w:noWrap/>
                  <w:vAlign w:val="bottom"/>
                  <w:hideMark/>
                </w:tcPr>
                <w:p w:rsidR="00805EE0" w:rsidRPr="006B5E0E" w:rsidRDefault="00805EE0" w:rsidP="006B5E0E">
                  <w:pPr>
                    <w:spacing w:after="0" w:line="480" w:lineRule="auto"/>
                    <w:jc w:val="right"/>
                    <w:rPr>
                      <w:rFonts w:ascii="Times New Roman" w:eastAsia="Times New Roman" w:hAnsi="Times New Roman"/>
                      <w:color w:val="000000"/>
                      <w:sz w:val="24"/>
                      <w:szCs w:val="24"/>
                      <w:lang w:eastAsia="en-US"/>
                    </w:rPr>
                  </w:pPr>
                  <w:r w:rsidRPr="006B5E0E">
                    <w:rPr>
                      <w:rFonts w:ascii="Times New Roman" w:eastAsia="Times New Roman" w:hAnsi="Times New Roman"/>
                      <w:color w:val="000000"/>
                      <w:sz w:val="24"/>
                      <w:szCs w:val="24"/>
                      <w:lang w:eastAsia="en-US"/>
                    </w:rPr>
                    <w:t>0.07</w:t>
                  </w:r>
                </w:p>
              </w:tc>
            </w:tr>
            <w:tr w:rsidR="00805EE0" w:rsidRPr="006B5E0E" w:rsidTr="00831BB5">
              <w:trPr>
                <w:trHeight w:val="300"/>
              </w:trPr>
              <w:tc>
                <w:tcPr>
                  <w:tcW w:w="2500" w:type="dxa"/>
                  <w:tcBorders>
                    <w:top w:val="nil"/>
                    <w:left w:val="nil"/>
                    <w:bottom w:val="nil"/>
                    <w:right w:val="nil"/>
                  </w:tcBorders>
                  <w:shd w:val="clear" w:color="auto" w:fill="auto"/>
                  <w:noWrap/>
                  <w:vAlign w:val="bottom"/>
                  <w:hideMark/>
                </w:tcPr>
                <w:p w:rsidR="00805EE0" w:rsidRPr="006B5E0E" w:rsidRDefault="00805EE0" w:rsidP="006B5E0E">
                  <w:pPr>
                    <w:spacing w:after="0" w:line="480" w:lineRule="auto"/>
                    <w:rPr>
                      <w:rFonts w:ascii="Times New Roman" w:eastAsia="Times New Roman" w:hAnsi="Times New Roman"/>
                      <w:color w:val="000000"/>
                      <w:sz w:val="24"/>
                      <w:szCs w:val="24"/>
                      <w:lang w:eastAsia="en-US"/>
                    </w:rPr>
                  </w:pPr>
                  <w:r w:rsidRPr="006B5E0E">
                    <w:rPr>
                      <w:rFonts w:ascii="Times New Roman" w:eastAsia="Times New Roman" w:hAnsi="Times New Roman"/>
                      <w:color w:val="000000"/>
                      <w:sz w:val="24"/>
                      <w:szCs w:val="24"/>
                      <w:lang w:eastAsia="en-US"/>
                    </w:rPr>
                    <w:t>Investment Style</w:t>
                  </w:r>
                </w:p>
              </w:tc>
              <w:tc>
                <w:tcPr>
                  <w:tcW w:w="1300" w:type="dxa"/>
                  <w:tcBorders>
                    <w:top w:val="nil"/>
                    <w:left w:val="nil"/>
                    <w:bottom w:val="nil"/>
                    <w:right w:val="nil"/>
                  </w:tcBorders>
                  <w:shd w:val="clear" w:color="auto" w:fill="auto"/>
                  <w:noWrap/>
                  <w:vAlign w:val="bottom"/>
                  <w:hideMark/>
                </w:tcPr>
                <w:p w:rsidR="00805EE0" w:rsidRPr="006B5E0E" w:rsidRDefault="00805EE0" w:rsidP="006B5E0E">
                  <w:pPr>
                    <w:spacing w:after="0" w:line="480" w:lineRule="auto"/>
                    <w:jc w:val="right"/>
                    <w:rPr>
                      <w:rFonts w:ascii="Times New Roman" w:eastAsia="Times New Roman" w:hAnsi="Times New Roman"/>
                      <w:color w:val="000000"/>
                      <w:sz w:val="24"/>
                      <w:szCs w:val="24"/>
                      <w:lang w:eastAsia="en-US"/>
                    </w:rPr>
                  </w:pPr>
                  <w:r w:rsidRPr="006B5E0E">
                    <w:rPr>
                      <w:rFonts w:ascii="Times New Roman" w:eastAsia="Times New Roman" w:hAnsi="Times New Roman"/>
                      <w:color w:val="000000"/>
                      <w:sz w:val="24"/>
                      <w:szCs w:val="24"/>
                      <w:lang w:eastAsia="en-US"/>
                    </w:rPr>
                    <w:t>0.65</w:t>
                  </w:r>
                </w:p>
              </w:tc>
              <w:tc>
                <w:tcPr>
                  <w:tcW w:w="1417" w:type="dxa"/>
                  <w:tcBorders>
                    <w:top w:val="nil"/>
                    <w:left w:val="nil"/>
                    <w:bottom w:val="nil"/>
                    <w:right w:val="nil"/>
                  </w:tcBorders>
                  <w:shd w:val="clear" w:color="auto" w:fill="auto"/>
                  <w:noWrap/>
                  <w:vAlign w:val="bottom"/>
                  <w:hideMark/>
                </w:tcPr>
                <w:p w:rsidR="00805EE0" w:rsidRPr="006B5E0E" w:rsidRDefault="00805EE0" w:rsidP="006B5E0E">
                  <w:pPr>
                    <w:spacing w:after="0" w:line="480" w:lineRule="auto"/>
                    <w:jc w:val="right"/>
                    <w:rPr>
                      <w:rFonts w:ascii="Times New Roman" w:eastAsia="Times New Roman" w:hAnsi="Times New Roman"/>
                      <w:color w:val="000000"/>
                      <w:sz w:val="24"/>
                      <w:szCs w:val="24"/>
                      <w:lang w:eastAsia="en-US"/>
                    </w:rPr>
                  </w:pPr>
                  <w:r w:rsidRPr="006B5E0E">
                    <w:rPr>
                      <w:rFonts w:ascii="Times New Roman" w:eastAsia="Times New Roman" w:hAnsi="Times New Roman"/>
                      <w:color w:val="000000"/>
                      <w:sz w:val="24"/>
                      <w:szCs w:val="24"/>
                      <w:lang w:eastAsia="en-US"/>
                    </w:rPr>
                    <w:t>0.58</w:t>
                  </w:r>
                </w:p>
              </w:tc>
              <w:tc>
                <w:tcPr>
                  <w:tcW w:w="1300" w:type="dxa"/>
                  <w:tcBorders>
                    <w:top w:val="nil"/>
                    <w:left w:val="nil"/>
                    <w:bottom w:val="nil"/>
                    <w:right w:val="nil"/>
                  </w:tcBorders>
                  <w:shd w:val="clear" w:color="auto" w:fill="auto"/>
                  <w:noWrap/>
                  <w:vAlign w:val="bottom"/>
                  <w:hideMark/>
                </w:tcPr>
                <w:p w:rsidR="00805EE0" w:rsidRPr="006B5E0E" w:rsidRDefault="00805EE0" w:rsidP="006B5E0E">
                  <w:pPr>
                    <w:spacing w:after="0" w:line="480" w:lineRule="auto"/>
                    <w:jc w:val="right"/>
                    <w:rPr>
                      <w:rFonts w:ascii="Times New Roman" w:eastAsia="Times New Roman" w:hAnsi="Times New Roman"/>
                      <w:color w:val="000000"/>
                      <w:sz w:val="24"/>
                      <w:szCs w:val="24"/>
                      <w:lang w:eastAsia="en-US"/>
                    </w:rPr>
                  </w:pPr>
                  <w:r w:rsidRPr="006B5E0E">
                    <w:rPr>
                      <w:rFonts w:ascii="Times New Roman" w:eastAsia="Times New Roman" w:hAnsi="Times New Roman"/>
                      <w:color w:val="000000"/>
                      <w:sz w:val="24"/>
                      <w:szCs w:val="24"/>
                      <w:lang w:eastAsia="en-US"/>
                    </w:rPr>
                    <w:t>0.58</w:t>
                  </w:r>
                </w:p>
              </w:tc>
              <w:tc>
                <w:tcPr>
                  <w:tcW w:w="1622" w:type="dxa"/>
                  <w:tcBorders>
                    <w:top w:val="nil"/>
                    <w:left w:val="nil"/>
                    <w:bottom w:val="nil"/>
                    <w:right w:val="nil"/>
                  </w:tcBorders>
                  <w:shd w:val="clear" w:color="auto" w:fill="auto"/>
                  <w:noWrap/>
                  <w:vAlign w:val="bottom"/>
                  <w:hideMark/>
                </w:tcPr>
                <w:p w:rsidR="00805EE0" w:rsidRPr="006B5E0E" w:rsidRDefault="00805EE0" w:rsidP="006B5E0E">
                  <w:pPr>
                    <w:spacing w:after="0" w:line="480" w:lineRule="auto"/>
                    <w:jc w:val="right"/>
                    <w:rPr>
                      <w:rFonts w:ascii="Times New Roman" w:eastAsia="Times New Roman" w:hAnsi="Times New Roman"/>
                      <w:b/>
                      <w:color w:val="000000"/>
                      <w:sz w:val="24"/>
                      <w:szCs w:val="24"/>
                      <w:u w:val="single"/>
                      <w:lang w:eastAsia="en-US"/>
                    </w:rPr>
                  </w:pPr>
                  <w:r w:rsidRPr="006B5E0E">
                    <w:rPr>
                      <w:rFonts w:ascii="Times New Roman" w:eastAsia="Times New Roman" w:hAnsi="Times New Roman"/>
                      <w:b/>
                      <w:color w:val="000000"/>
                      <w:sz w:val="24"/>
                      <w:szCs w:val="24"/>
                      <w:u w:val="single"/>
                      <w:lang w:eastAsia="en-US"/>
                    </w:rPr>
                    <w:t>0.83</w:t>
                  </w:r>
                </w:p>
              </w:tc>
            </w:tr>
            <w:tr w:rsidR="00805EE0" w:rsidRPr="006B5E0E" w:rsidTr="00831BB5">
              <w:trPr>
                <w:trHeight w:val="300"/>
              </w:trPr>
              <w:tc>
                <w:tcPr>
                  <w:tcW w:w="2500" w:type="dxa"/>
                  <w:tcBorders>
                    <w:top w:val="nil"/>
                    <w:left w:val="nil"/>
                    <w:bottom w:val="nil"/>
                    <w:right w:val="nil"/>
                  </w:tcBorders>
                  <w:shd w:val="clear" w:color="auto" w:fill="auto"/>
                  <w:noWrap/>
                  <w:vAlign w:val="bottom"/>
                  <w:hideMark/>
                </w:tcPr>
                <w:p w:rsidR="00805EE0" w:rsidRPr="006B5E0E" w:rsidRDefault="00805EE0" w:rsidP="006B5E0E">
                  <w:pPr>
                    <w:spacing w:after="0" w:line="480" w:lineRule="auto"/>
                    <w:rPr>
                      <w:rFonts w:ascii="Times New Roman" w:eastAsia="Times New Roman" w:hAnsi="Times New Roman"/>
                      <w:color w:val="000000"/>
                      <w:sz w:val="24"/>
                      <w:szCs w:val="24"/>
                      <w:lang w:eastAsia="en-US"/>
                    </w:rPr>
                  </w:pPr>
                  <w:r w:rsidRPr="006B5E0E">
                    <w:rPr>
                      <w:rFonts w:ascii="Times New Roman" w:eastAsia="Times New Roman" w:hAnsi="Times New Roman"/>
                      <w:color w:val="000000"/>
                      <w:sz w:val="24"/>
                      <w:szCs w:val="24"/>
                      <w:lang w:eastAsia="en-US"/>
                    </w:rPr>
                    <w:t>Compensation</w:t>
                  </w:r>
                </w:p>
              </w:tc>
              <w:tc>
                <w:tcPr>
                  <w:tcW w:w="1300" w:type="dxa"/>
                  <w:tcBorders>
                    <w:top w:val="nil"/>
                    <w:left w:val="nil"/>
                    <w:bottom w:val="nil"/>
                    <w:right w:val="nil"/>
                  </w:tcBorders>
                  <w:shd w:val="clear" w:color="auto" w:fill="auto"/>
                  <w:noWrap/>
                  <w:vAlign w:val="bottom"/>
                  <w:hideMark/>
                </w:tcPr>
                <w:p w:rsidR="00805EE0" w:rsidRPr="006B5E0E" w:rsidRDefault="00805EE0" w:rsidP="006B5E0E">
                  <w:pPr>
                    <w:spacing w:after="0" w:line="480" w:lineRule="auto"/>
                    <w:jc w:val="right"/>
                    <w:rPr>
                      <w:rFonts w:ascii="Times New Roman" w:eastAsia="Times New Roman" w:hAnsi="Times New Roman"/>
                      <w:color w:val="000000"/>
                      <w:sz w:val="24"/>
                      <w:szCs w:val="24"/>
                      <w:lang w:eastAsia="en-US"/>
                    </w:rPr>
                  </w:pPr>
                  <w:r w:rsidRPr="006B5E0E">
                    <w:rPr>
                      <w:rFonts w:ascii="Times New Roman" w:eastAsia="Times New Roman" w:hAnsi="Times New Roman"/>
                      <w:color w:val="000000"/>
                      <w:sz w:val="24"/>
                      <w:szCs w:val="24"/>
                      <w:lang w:eastAsia="en-US"/>
                    </w:rPr>
                    <w:t>0.34</w:t>
                  </w:r>
                </w:p>
              </w:tc>
              <w:tc>
                <w:tcPr>
                  <w:tcW w:w="1417" w:type="dxa"/>
                  <w:tcBorders>
                    <w:top w:val="nil"/>
                    <w:left w:val="nil"/>
                    <w:bottom w:val="nil"/>
                    <w:right w:val="nil"/>
                  </w:tcBorders>
                  <w:shd w:val="clear" w:color="auto" w:fill="auto"/>
                  <w:noWrap/>
                  <w:vAlign w:val="bottom"/>
                  <w:hideMark/>
                </w:tcPr>
                <w:p w:rsidR="00805EE0" w:rsidRPr="006B5E0E" w:rsidRDefault="00805EE0" w:rsidP="006B5E0E">
                  <w:pPr>
                    <w:spacing w:after="0" w:line="480" w:lineRule="auto"/>
                    <w:jc w:val="right"/>
                    <w:rPr>
                      <w:rFonts w:ascii="Times New Roman" w:eastAsia="Times New Roman" w:hAnsi="Times New Roman"/>
                      <w:color w:val="000000"/>
                      <w:sz w:val="24"/>
                      <w:szCs w:val="24"/>
                      <w:lang w:eastAsia="en-US"/>
                    </w:rPr>
                  </w:pPr>
                  <w:r w:rsidRPr="006B5E0E">
                    <w:rPr>
                      <w:rFonts w:ascii="Times New Roman" w:eastAsia="Times New Roman" w:hAnsi="Times New Roman"/>
                      <w:color w:val="000000"/>
                      <w:sz w:val="24"/>
                      <w:szCs w:val="24"/>
                      <w:lang w:eastAsia="en-US"/>
                    </w:rPr>
                    <w:t>0.62</w:t>
                  </w:r>
                </w:p>
              </w:tc>
              <w:tc>
                <w:tcPr>
                  <w:tcW w:w="1300" w:type="dxa"/>
                  <w:tcBorders>
                    <w:top w:val="nil"/>
                    <w:left w:val="nil"/>
                    <w:bottom w:val="nil"/>
                    <w:right w:val="nil"/>
                  </w:tcBorders>
                  <w:shd w:val="clear" w:color="auto" w:fill="auto"/>
                  <w:noWrap/>
                  <w:vAlign w:val="bottom"/>
                  <w:hideMark/>
                </w:tcPr>
                <w:p w:rsidR="00805EE0" w:rsidRPr="006B5E0E" w:rsidRDefault="00805EE0" w:rsidP="006B5E0E">
                  <w:pPr>
                    <w:spacing w:after="0" w:line="480" w:lineRule="auto"/>
                    <w:jc w:val="right"/>
                    <w:rPr>
                      <w:rFonts w:ascii="Times New Roman" w:eastAsia="Times New Roman" w:hAnsi="Times New Roman"/>
                      <w:color w:val="000000"/>
                      <w:sz w:val="24"/>
                      <w:szCs w:val="24"/>
                      <w:lang w:eastAsia="en-US"/>
                    </w:rPr>
                  </w:pPr>
                  <w:r w:rsidRPr="006B5E0E">
                    <w:rPr>
                      <w:rFonts w:ascii="Times New Roman" w:eastAsia="Times New Roman" w:hAnsi="Times New Roman"/>
                      <w:color w:val="000000"/>
                      <w:sz w:val="24"/>
                      <w:szCs w:val="24"/>
                      <w:lang w:eastAsia="en-US"/>
                    </w:rPr>
                    <w:t>0.45</w:t>
                  </w:r>
                </w:p>
              </w:tc>
              <w:tc>
                <w:tcPr>
                  <w:tcW w:w="1622" w:type="dxa"/>
                  <w:tcBorders>
                    <w:top w:val="nil"/>
                    <w:left w:val="nil"/>
                    <w:bottom w:val="nil"/>
                    <w:right w:val="nil"/>
                  </w:tcBorders>
                  <w:shd w:val="clear" w:color="auto" w:fill="auto"/>
                  <w:noWrap/>
                  <w:vAlign w:val="bottom"/>
                  <w:hideMark/>
                </w:tcPr>
                <w:p w:rsidR="00805EE0" w:rsidRPr="006B5E0E" w:rsidRDefault="00805EE0" w:rsidP="006B5E0E">
                  <w:pPr>
                    <w:spacing w:after="0" w:line="480" w:lineRule="auto"/>
                    <w:jc w:val="right"/>
                    <w:rPr>
                      <w:rFonts w:ascii="Times New Roman" w:eastAsia="Times New Roman" w:hAnsi="Times New Roman"/>
                      <w:color w:val="000000"/>
                      <w:sz w:val="24"/>
                      <w:szCs w:val="24"/>
                      <w:lang w:eastAsia="en-US"/>
                    </w:rPr>
                  </w:pPr>
                  <w:r w:rsidRPr="006B5E0E">
                    <w:rPr>
                      <w:rFonts w:ascii="Times New Roman" w:eastAsia="Times New Roman" w:hAnsi="Times New Roman"/>
                      <w:color w:val="000000"/>
                      <w:sz w:val="24"/>
                      <w:szCs w:val="24"/>
                      <w:lang w:eastAsia="en-US"/>
                    </w:rPr>
                    <w:t>0.63</w:t>
                  </w:r>
                </w:p>
              </w:tc>
            </w:tr>
            <w:tr w:rsidR="00805EE0" w:rsidRPr="006B5E0E" w:rsidTr="00831BB5">
              <w:trPr>
                <w:trHeight w:val="300"/>
              </w:trPr>
              <w:tc>
                <w:tcPr>
                  <w:tcW w:w="2500" w:type="dxa"/>
                  <w:tcBorders>
                    <w:top w:val="nil"/>
                    <w:left w:val="nil"/>
                    <w:bottom w:val="nil"/>
                    <w:right w:val="nil"/>
                  </w:tcBorders>
                  <w:shd w:val="clear" w:color="auto" w:fill="auto"/>
                  <w:noWrap/>
                  <w:vAlign w:val="bottom"/>
                  <w:hideMark/>
                </w:tcPr>
                <w:p w:rsidR="00805EE0" w:rsidRPr="006B5E0E" w:rsidRDefault="00805EE0" w:rsidP="006B5E0E">
                  <w:pPr>
                    <w:spacing w:after="0" w:line="480" w:lineRule="auto"/>
                    <w:rPr>
                      <w:rFonts w:ascii="Times New Roman" w:eastAsia="Times New Roman" w:hAnsi="Times New Roman"/>
                      <w:color w:val="000000"/>
                      <w:sz w:val="24"/>
                      <w:szCs w:val="24"/>
                      <w:lang w:eastAsia="en-US"/>
                    </w:rPr>
                  </w:pPr>
                  <w:r w:rsidRPr="006B5E0E">
                    <w:rPr>
                      <w:rFonts w:ascii="Times New Roman" w:eastAsia="Times New Roman" w:hAnsi="Times New Roman"/>
                      <w:color w:val="000000"/>
                      <w:sz w:val="24"/>
                      <w:szCs w:val="24"/>
                      <w:lang w:eastAsia="en-US"/>
                    </w:rPr>
                    <w:t>Wealth Build</w:t>
                  </w:r>
                </w:p>
              </w:tc>
              <w:tc>
                <w:tcPr>
                  <w:tcW w:w="1300" w:type="dxa"/>
                  <w:tcBorders>
                    <w:top w:val="nil"/>
                    <w:left w:val="nil"/>
                    <w:bottom w:val="nil"/>
                    <w:right w:val="nil"/>
                  </w:tcBorders>
                  <w:shd w:val="clear" w:color="auto" w:fill="auto"/>
                  <w:noWrap/>
                  <w:vAlign w:val="bottom"/>
                  <w:hideMark/>
                </w:tcPr>
                <w:p w:rsidR="00805EE0" w:rsidRPr="006B5E0E" w:rsidRDefault="00805EE0" w:rsidP="006B5E0E">
                  <w:pPr>
                    <w:spacing w:after="0" w:line="480" w:lineRule="auto"/>
                    <w:jc w:val="right"/>
                    <w:rPr>
                      <w:rFonts w:ascii="Times New Roman" w:eastAsia="Times New Roman" w:hAnsi="Times New Roman"/>
                      <w:b/>
                      <w:color w:val="000000"/>
                      <w:sz w:val="24"/>
                      <w:szCs w:val="24"/>
                      <w:u w:val="single"/>
                      <w:lang w:eastAsia="en-US"/>
                    </w:rPr>
                  </w:pPr>
                  <w:r w:rsidRPr="006B5E0E">
                    <w:rPr>
                      <w:rFonts w:ascii="Times New Roman" w:eastAsia="Times New Roman" w:hAnsi="Times New Roman"/>
                      <w:b/>
                      <w:color w:val="000000"/>
                      <w:sz w:val="24"/>
                      <w:szCs w:val="24"/>
                      <w:u w:val="single"/>
                      <w:lang w:eastAsia="en-US"/>
                    </w:rPr>
                    <w:t>0.86</w:t>
                  </w:r>
                </w:p>
              </w:tc>
              <w:tc>
                <w:tcPr>
                  <w:tcW w:w="1417" w:type="dxa"/>
                  <w:tcBorders>
                    <w:top w:val="nil"/>
                    <w:left w:val="nil"/>
                    <w:bottom w:val="nil"/>
                    <w:right w:val="nil"/>
                  </w:tcBorders>
                  <w:shd w:val="clear" w:color="auto" w:fill="auto"/>
                  <w:noWrap/>
                  <w:vAlign w:val="bottom"/>
                  <w:hideMark/>
                </w:tcPr>
                <w:p w:rsidR="00805EE0" w:rsidRPr="006B5E0E" w:rsidRDefault="00805EE0" w:rsidP="006B5E0E">
                  <w:pPr>
                    <w:spacing w:after="0" w:line="480" w:lineRule="auto"/>
                    <w:jc w:val="right"/>
                    <w:rPr>
                      <w:rFonts w:ascii="Times New Roman" w:eastAsia="Times New Roman" w:hAnsi="Times New Roman"/>
                      <w:color w:val="000000"/>
                      <w:sz w:val="24"/>
                      <w:szCs w:val="24"/>
                      <w:lang w:eastAsia="en-US"/>
                    </w:rPr>
                  </w:pPr>
                  <w:r w:rsidRPr="006B5E0E">
                    <w:rPr>
                      <w:rFonts w:ascii="Times New Roman" w:eastAsia="Times New Roman" w:hAnsi="Times New Roman"/>
                      <w:color w:val="000000"/>
                      <w:sz w:val="24"/>
                      <w:szCs w:val="24"/>
                      <w:lang w:eastAsia="en-US"/>
                    </w:rPr>
                    <w:t>0.57</w:t>
                  </w:r>
                </w:p>
              </w:tc>
              <w:tc>
                <w:tcPr>
                  <w:tcW w:w="1300" w:type="dxa"/>
                  <w:tcBorders>
                    <w:top w:val="nil"/>
                    <w:left w:val="nil"/>
                    <w:bottom w:val="nil"/>
                    <w:right w:val="nil"/>
                  </w:tcBorders>
                  <w:shd w:val="clear" w:color="auto" w:fill="auto"/>
                  <w:noWrap/>
                  <w:vAlign w:val="bottom"/>
                  <w:hideMark/>
                </w:tcPr>
                <w:p w:rsidR="00805EE0" w:rsidRPr="006B5E0E" w:rsidRDefault="00805EE0" w:rsidP="006B5E0E">
                  <w:pPr>
                    <w:spacing w:after="0" w:line="480" w:lineRule="auto"/>
                    <w:jc w:val="right"/>
                    <w:rPr>
                      <w:rFonts w:ascii="Times New Roman" w:eastAsia="Times New Roman" w:hAnsi="Times New Roman"/>
                      <w:color w:val="000000"/>
                      <w:sz w:val="24"/>
                      <w:szCs w:val="24"/>
                      <w:lang w:eastAsia="en-US"/>
                    </w:rPr>
                  </w:pPr>
                  <w:r w:rsidRPr="006B5E0E">
                    <w:rPr>
                      <w:rFonts w:ascii="Times New Roman" w:eastAsia="Times New Roman" w:hAnsi="Times New Roman"/>
                      <w:color w:val="000000"/>
                      <w:sz w:val="24"/>
                      <w:szCs w:val="24"/>
                      <w:lang w:eastAsia="en-US"/>
                    </w:rPr>
                    <w:t>0.52</w:t>
                  </w:r>
                </w:p>
              </w:tc>
              <w:tc>
                <w:tcPr>
                  <w:tcW w:w="1622" w:type="dxa"/>
                  <w:tcBorders>
                    <w:top w:val="nil"/>
                    <w:left w:val="nil"/>
                    <w:bottom w:val="nil"/>
                    <w:right w:val="nil"/>
                  </w:tcBorders>
                  <w:shd w:val="clear" w:color="auto" w:fill="auto"/>
                  <w:noWrap/>
                  <w:vAlign w:val="bottom"/>
                  <w:hideMark/>
                </w:tcPr>
                <w:p w:rsidR="00805EE0" w:rsidRPr="006B5E0E" w:rsidRDefault="00805EE0" w:rsidP="006B5E0E">
                  <w:pPr>
                    <w:spacing w:after="0" w:line="480" w:lineRule="auto"/>
                    <w:jc w:val="right"/>
                    <w:rPr>
                      <w:rFonts w:ascii="Times New Roman" w:eastAsia="Times New Roman" w:hAnsi="Times New Roman"/>
                      <w:color w:val="000000"/>
                      <w:sz w:val="24"/>
                      <w:szCs w:val="24"/>
                      <w:lang w:eastAsia="en-US"/>
                    </w:rPr>
                  </w:pPr>
                  <w:r w:rsidRPr="006B5E0E">
                    <w:rPr>
                      <w:rFonts w:ascii="Times New Roman" w:eastAsia="Times New Roman" w:hAnsi="Times New Roman"/>
                      <w:color w:val="000000"/>
                      <w:sz w:val="24"/>
                      <w:szCs w:val="24"/>
                      <w:lang w:eastAsia="en-US"/>
                    </w:rPr>
                    <w:t>0.52</w:t>
                  </w:r>
                </w:p>
              </w:tc>
            </w:tr>
            <w:tr w:rsidR="00805EE0" w:rsidRPr="006B5E0E" w:rsidTr="00831BB5">
              <w:trPr>
                <w:trHeight w:val="300"/>
              </w:trPr>
              <w:tc>
                <w:tcPr>
                  <w:tcW w:w="2500" w:type="dxa"/>
                  <w:tcBorders>
                    <w:top w:val="nil"/>
                    <w:left w:val="nil"/>
                    <w:bottom w:val="nil"/>
                    <w:right w:val="nil"/>
                  </w:tcBorders>
                  <w:shd w:val="clear" w:color="auto" w:fill="auto"/>
                  <w:noWrap/>
                  <w:vAlign w:val="bottom"/>
                  <w:hideMark/>
                </w:tcPr>
                <w:p w:rsidR="00805EE0" w:rsidRPr="006B5E0E" w:rsidRDefault="00805EE0" w:rsidP="006B5E0E">
                  <w:pPr>
                    <w:spacing w:after="0" w:line="480" w:lineRule="auto"/>
                    <w:rPr>
                      <w:rFonts w:ascii="Times New Roman" w:eastAsia="Times New Roman" w:hAnsi="Times New Roman"/>
                      <w:color w:val="000000"/>
                      <w:sz w:val="24"/>
                      <w:szCs w:val="24"/>
                      <w:lang w:eastAsia="en-US"/>
                    </w:rPr>
                  </w:pPr>
                  <w:r w:rsidRPr="006B5E0E">
                    <w:rPr>
                      <w:rFonts w:ascii="Times New Roman" w:eastAsia="Times New Roman" w:hAnsi="Times New Roman"/>
                      <w:color w:val="000000"/>
                      <w:sz w:val="24"/>
                      <w:szCs w:val="24"/>
                      <w:lang w:eastAsia="en-US"/>
                    </w:rPr>
                    <w:t>Attitude Toward Risks</w:t>
                  </w:r>
                </w:p>
              </w:tc>
              <w:tc>
                <w:tcPr>
                  <w:tcW w:w="1300" w:type="dxa"/>
                  <w:tcBorders>
                    <w:top w:val="nil"/>
                    <w:left w:val="nil"/>
                    <w:bottom w:val="nil"/>
                    <w:right w:val="nil"/>
                  </w:tcBorders>
                  <w:shd w:val="clear" w:color="auto" w:fill="auto"/>
                  <w:noWrap/>
                  <w:vAlign w:val="bottom"/>
                  <w:hideMark/>
                </w:tcPr>
                <w:p w:rsidR="00805EE0" w:rsidRPr="006B5E0E" w:rsidRDefault="00805EE0" w:rsidP="006B5E0E">
                  <w:pPr>
                    <w:spacing w:after="0" w:line="480" w:lineRule="auto"/>
                    <w:jc w:val="right"/>
                    <w:rPr>
                      <w:rFonts w:ascii="Times New Roman" w:eastAsia="Times New Roman" w:hAnsi="Times New Roman"/>
                      <w:b/>
                      <w:color w:val="000000"/>
                      <w:sz w:val="24"/>
                      <w:szCs w:val="24"/>
                      <w:u w:val="single"/>
                      <w:lang w:eastAsia="en-US"/>
                    </w:rPr>
                  </w:pPr>
                  <w:r w:rsidRPr="006B5E0E">
                    <w:rPr>
                      <w:rFonts w:ascii="Times New Roman" w:eastAsia="Times New Roman" w:hAnsi="Times New Roman"/>
                      <w:b/>
                      <w:color w:val="000000"/>
                      <w:sz w:val="24"/>
                      <w:szCs w:val="24"/>
                      <w:u w:val="single"/>
                      <w:lang w:eastAsia="en-US"/>
                    </w:rPr>
                    <w:t>0.81</w:t>
                  </w:r>
                </w:p>
              </w:tc>
              <w:tc>
                <w:tcPr>
                  <w:tcW w:w="1417" w:type="dxa"/>
                  <w:tcBorders>
                    <w:top w:val="nil"/>
                    <w:left w:val="nil"/>
                    <w:bottom w:val="nil"/>
                    <w:right w:val="nil"/>
                  </w:tcBorders>
                  <w:shd w:val="clear" w:color="auto" w:fill="auto"/>
                  <w:noWrap/>
                  <w:vAlign w:val="bottom"/>
                  <w:hideMark/>
                </w:tcPr>
                <w:p w:rsidR="00805EE0" w:rsidRPr="006B5E0E" w:rsidRDefault="00805EE0" w:rsidP="006B5E0E">
                  <w:pPr>
                    <w:spacing w:after="0" w:line="480" w:lineRule="auto"/>
                    <w:jc w:val="right"/>
                    <w:rPr>
                      <w:rFonts w:ascii="Times New Roman" w:eastAsia="Times New Roman" w:hAnsi="Times New Roman"/>
                      <w:b/>
                      <w:color w:val="000000"/>
                      <w:sz w:val="24"/>
                      <w:szCs w:val="24"/>
                      <w:u w:val="single"/>
                      <w:lang w:eastAsia="en-US"/>
                    </w:rPr>
                  </w:pPr>
                  <w:r w:rsidRPr="006B5E0E">
                    <w:rPr>
                      <w:rFonts w:ascii="Times New Roman" w:eastAsia="Times New Roman" w:hAnsi="Times New Roman"/>
                      <w:b/>
                      <w:color w:val="000000"/>
                      <w:sz w:val="24"/>
                      <w:szCs w:val="24"/>
                      <w:u w:val="single"/>
                      <w:lang w:eastAsia="en-US"/>
                    </w:rPr>
                    <w:t>0.74</w:t>
                  </w:r>
                </w:p>
              </w:tc>
              <w:tc>
                <w:tcPr>
                  <w:tcW w:w="1300" w:type="dxa"/>
                  <w:tcBorders>
                    <w:top w:val="nil"/>
                    <w:left w:val="nil"/>
                    <w:bottom w:val="nil"/>
                    <w:right w:val="nil"/>
                  </w:tcBorders>
                  <w:shd w:val="clear" w:color="auto" w:fill="auto"/>
                  <w:noWrap/>
                  <w:vAlign w:val="bottom"/>
                  <w:hideMark/>
                </w:tcPr>
                <w:p w:rsidR="00805EE0" w:rsidRPr="006B5E0E" w:rsidRDefault="00805EE0" w:rsidP="006B5E0E">
                  <w:pPr>
                    <w:spacing w:after="0" w:line="480" w:lineRule="auto"/>
                    <w:jc w:val="right"/>
                    <w:rPr>
                      <w:rFonts w:ascii="Times New Roman" w:eastAsia="Times New Roman" w:hAnsi="Times New Roman"/>
                      <w:b/>
                      <w:color w:val="000000"/>
                      <w:sz w:val="24"/>
                      <w:szCs w:val="24"/>
                      <w:u w:val="single"/>
                      <w:lang w:eastAsia="en-US"/>
                    </w:rPr>
                  </w:pPr>
                  <w:r w:rsidRPr="006B5E0E">
                    <w:rPr>
                      <w:rFonts w:ascii="Times New Roman" w:eastAsia="Times New Roman" w:hAnsi="Times New Roman"/>
                      <w:b/>
                      <w:color w:val="000000"/>
                      <w:sz w:val="24"/>
                      <w:szCs w:val="24"/>
                      <w:u w:val="single"/>
                      <w:lang w:eastAsia="en-US"/>
                    </w:rPr>
                    <w:t>0.84</w:t>
                  </w:r>
                </w:p>
              </w:tc>
              <w:tc>
                <w:tcPr>
                  <w:tcW w:w="1622" w:type="dxa"/>
                  <w:tcBorders>
                    <w:top w:val="nil"/>
                    <w:left w:val="nil"/>
                    <w:bottom w:val="nil"/>
                    <w:right w:val="nil"/>
                  </w:tcBorders>
                  <w:shd w:val="clear" w:color="auto" w:fill="auto"/>
                  <w:noWrap/>
                  <w:vAlign w:val="bottom"/>
                  <w:hideMark/>
                </w:tcPr>
                <w:p w:rsidR="00805EE0" w:rsidRPr="006B5E0E" w:rsidRDefault="00805EE0" w:rsidP="006B5E0E">
                  <w:pPr>
                    <w:spacing w:after="0" w:line="480" w:lineRule="auto"/>
                    <w:jc w:val="right"/>
                    <w:rPr>
                      <w:rFonts w:ascii="Times New Roman" w:eastAsia="Times New Roman" w:hAnsi="Times New Roman"/>
                      <w:color w:val="000000"/>
                      <w:sz w:val="24"/>
                      <w:szCs w:val="24"/>
                      <w:lang w:eastAsia="en-US"/>
                    </w:rPr>
                  </w:pPr>
                  <w:r w:rsidRPr="006B5E0E">
                    <w:rPr>
                      <w:rFonts w:ascii="Times New Roman" w:eastAsia="Times New Roman" w:hAnsi="Times New Roman"/>
                      <w:color w:val="000000"/>
                      <w:sz w:val="24"/>
                      <w:szCs w:val="24"/>
                      <w:lang w:eastAsia="en-US"/>
                    </w:rPr>
                    <w:t>0.62</w:t>
                  </w:r>
                </w:p>
              </w:tc>
            </w:tr>
            <w:tr w:rsidR="00805EE0" w:rsidRPr="006B5E0E" w:rsidTr="00831BB5">
              <w:trPr>
                <w:trHeight w:val="300"/>
              </w:trPr>
              <w:tc>
                <w:tcPr>
                  <w:tcW w:w="2500" w:type="dxa"/>
                  <w:tcBorders>
                    <w:top w:val="nil"/>
                    <w:left w:val="nil"/>
                    <w:bottom w:val="nil"/>
                    <w:right w:val="nil"/>
                  </w:tcBorders>
                  <w:shd w:val="clear" w:color="auto" w:fill="auto"/>
                  <w:noWrap/>
                  <w:vAlign w:val="bottom"/>
                  <w:hideMark/>
                </w:tcPr>
                <w:p w:rsidR="00805EE0" w:rsidRPr="006B5E0E" w:rsidRDefault="00805EE0" w:rsidP="006B5E0E">
                  <w:pPr>
                    <w:spacing w:after="0" w:line="480" w:lineRule="auto"/>
                    <w:rPr>
                      <w:rFonts w:ascii="Times New Roman" w:eastAsia="Times New Roman" w:hAnsi="Times New Roman"/>
                      <w:color w:val="000000"/>
                      <w:sz w:val="24"/>
                      <w:szCs w:val="24"/>
                      <w:lang w:eastAsia="en-US"/>
                    </w:rPr>
                  </w:pPr>
                  <w:r w:rsidRPr="006B5E0E">
                    <w:rPr>
                      <w:rFonts w:ascii="Times New Roman" w:eastAsia="Times New Roman" w:hAnsi="Times New Roman"/>
                      <w:color w:val="000000"/>
                      <w:sz w:val="24"/>
                      <w:szCs w:val="24"/>
                      <w:lang w:eastAsia="en-US"/>
                    </w:rPr>
                    <w:t>Use of novel instruments</w:t>
                  </w:r>
                </w:p>
              </w:tc>
              <w:tc>
                <w:tcPr>
                  <w:tcW w:w="1300" w:type="dxa"/>
                  <w:tcBorders>
                    <w:top w:val="nil"/>
                    <w:left w:val="nil"/>
                    <w:bottom w:val="nil"/>
                    <w:right w:val="nil"/>
                  </w:tcBorders>
                  <w:shd w:val="clear" w:color="auto" w:fill="auto"/>
                  <w:noWrap/>
                  <w:vAlign w:val="bottom"/>
                  <w:hideMark/>
                </w:tcPr>
                <w:p w:rsidR="00805EE0" w:rsidRPr="006B5E0E" w:rsidRDefault="00805EE0" w:rsidP="006B5E0E">
                  <w:pPr>
                    <w:spacing w:after="0" w:line="480" w:lineRule="auto"/>
                    <w:jc w:val="right"/>
                    <w:rPr>
                      <w:rFonts w:ascii="Times New Roman" w:eastAsia="Times New Roman" w:hAnsi="Times New Roman"/>
                      <w:b/>
                      <w:color w:val="000000"/>
                      <w:sz w:val="24"/>
                      <w:szCs w:val="24"/>
                      <w:u w:val="single"/>
                      <w:lang w:eastAsia="en-US"/>
                    </w:rPr>
                  </w:pPr>
                  <w:r w:rsidRPr="006B5E0E">
                    <w:rPr>
                      <w:rFonts w:ascii="Times New Roman" w:eastAsia="Times New Roman" w:hAnsi="Times New Roman"/>
                      <w:b/>
                      <w:color w:val="000000"/>
                      <w:sz w:val="24"/>
                      <w:szCs w:val="24"/>
                      <w:u w:val="single"/>
                      <w:lang w:eastAsia="en-US"/>
                    </w:rPr>
                    <w:t>0.78</w:t>
                  </w:r>
                </w:p>
              </w:tc>
              <w:tc>
                <w:tcPr>
                  <w:tcW w:w="1417" w:type="dxa"/>
                  <w:tcBorders>
                    <w:top w:val="nil"/>
                    <w:left w:val="nil"/>
                    <w:bottom w:val="nil"/>
                    <w:right w:val="nil"/>
                  </w:tcBorders>
                  <w:shd w:val="clear" w:color="auto" w:fill="auto"/>
                  <w:noWrap/>
                  <w:vAlign w:val="bottom"/>
                  <w:hideMark/>
                </w:tcPr>
                <w:p w:rsidR="00805EE0" w:rsidRPr="006B5E0E" w:rsidRDefault="00805EE0" w:rsidP="006B5E0E">
                  <w:pPr>
                    <w:spacing w:after="0" w:line="480" w:lineRule="auto"/>
                    <w:jc w:val="right"/>
                    <w:rPr>
                      <w:rFonts w:ascii="Times New Roman" w:eastAsia="Times New Roman" w:hAnsi="Times New Roman"/>
                      <w:b/>
                      <w:color w:val="000000"/>
                      <w:sz w:val="24"/>
                      <w:szCs w:val="24"/>
                      <w:u w:val="single"/>
                      <w:lang w:eastAsia="en-US"/>
                    </w:rPr>
                  </w:pPr>
                  <w:r w:rsidRPr="006B5E0E">
                    <w:rPr>
                      <w:rFonts w:ascii="Times New Roman" w:eastAsia="Times New Roman" w:hAnsi="Times New Roman"/>
                      <w:b/>
                      <w:color w:val="000000"/>
                      <w:sz w:val="24"/>
                      <w:szCs w:val="24"/>
                      <w:u w:val="single"/>
                      <w:lang w:eastAsia="en-US"/>
                    </w:rPr>
                    <w:t>0.83</w:t>
                  </w:r>
                </w:p>
              </w:tc>
              <w:tc>
                <w:tcPr>
                  <w:tcW w:w="1300" w:type="dxa"/>
                  <w:tcBorders>
                    <w:top w:val="nil"/>
                    <w:left w:val="nil"/>
                    <w:bottom w:val="nil"/>
                    <w:right w:val="nil"/>
                  </w:tcBorders>
                  <w:shd w:val="clear" w:color="auto" w:fill="auto"/>
                  <w:noWrap/>
                  <w:vAlign w:val="bottom"/>
                  <w:hideMark/>
                </w:tcPr>
                <w:p w:rsidR="00805EE0" w:rsidRPr="006B5E0E" w:rsidRDefault="00805EE0" w:rsidP="006B5E0E">
                  <w:pPr>
                    <w:spacing w:after="0" w:line="480" w:lineRule="auto"/>
                    <w:jc w:val="right"/>
                    <w:rPr>
                      <w:rFonts w:ascii="Times New Roman" w:eastAsia="Times New Roman" w:hAnsi="Times New Roman"/>
                      <w:b/>
                      <w:color w:val="000000"/>
                      <w:sz w:val="24"/>
                      <w:szCs w:val="24"/>
                      <w:u w:val="single"/>
                      <w:lang w:eastAsia="en-US"/>
                    </w:rPr>
                  </w:pPr>
                  <w:r w:rsidRPr="006B5E0E">
                    <w:rPr>
                      <w:rFonts w:ascii="Times New Roman" w:eastAsia="Times New Roman" w:hAnsi="Times New Roman"/>
                      <w:b/>
                      <w:color w:val="000000"/>
                      <w:sz w:val="24"/>
                      <w:szCs w:val="24"/>
                      <w:u w:val="single"/>
                      <w:lang w:eastAsia="en-US"/>
                    </w:rPr>
                    <w:t>0.76</w:t>
                  </w:r>
                </w:p>
              </w:tc>
              <w:tc>
                <w:tcPr>
                  <w:tcW w:w="1622" w:type="dxa"/>
                  <w:tcBorders>
                    <w:top w:val="nil"/>
                    <w:left w:val="nil"/>
                    <w:bottom w:val="nil"/>
                    <w:right w:val="nil"/>
                  </w:tcBorders>
                  <w:shd w:val="clear" w:color="auto" w:fill="auto"/>
                  <w:noWrap/>
                  <w:vAlign w:val="bottom"/>
                  <w:hideMark/>
                </w:tcPr>
                <w:p w:rsidR="00805EE0" w:rsidRPr="006B5E0E" w:rsidRDefault="00805EE0" w:rsidP="006B5E0E">
                  <w:pPr>
                    <w:spacing w:after="0" w:line="480" w:lineRule="auto"/>
                    <w:jc w:val="right"/>
                    <w:rPr>
                      <w:rFonts w:ascii="Times New Roman" w:eastAsia="Times New Roman" w:hAnsi="Times New Roman"/>
                      <w:b/>
                      <w:color w:val="000000"/>
                      <w:sz w:val="24"/>
                      <w:szCs w:val="24"/>
                      <w:u w:val="single"/>
                      <w:lang w:eastAsia="en-US"/>
                    </w:rPr>
                  </w:pPr>
                  <w:r w:rsidRPr="006B5E0E">
                    <w:rPr>
                      <w:rFonts w:ascii="Times New Roman" w:eastAsia="Times New Roman" w:hAnsi="Times New Roman"/>
                      <w:b/>
                      <w:color w:val="000000"/>
                      <w:sz w:val="24"/>
                      <w:szCs w:val="24"/>
                      <w:u w:val="single"/>
                      <w:lang w:eastAsia="en-US"/>
                    </w:rPr>
                    <w:t>0.85</w:t>
                  </w:r>
                </w:p>
              </w:tc>
            </w:tr>
            <w:tr w:rsidR="00805EE0" w:rsidRPr="006B5E0E" w:rsidTr="00831BB5">
              <w:trPr>
                <w:trHeight w:val="300"/>
              </w:trPr>
              <w:tc>
                <w:tcPr>
                  <w:tcW w:w="2500" w:type="dxa"/>
                  <w:tcBorders>
                    <w:top w:val="nil"/>
                    <w:left w:val="nil"/>
                    <w:bottom w:val="nil"/>
                    <w:right w:val="nil"/>
                  </w:tcBorders>
                  <w:shd w:val="clear" w:color="auto" w:fill="auto"/>
                  <w:noWrap/>
                  <w:vAlign w:val="bottom"/>
                  <w:hideMark/>
                </w:tcPr>
                <w:p w:rsidR="00805EE0" w:rsidRPr="006B5E0E" w:rsidRDefault="00805EE0" w:rsidP="006B5E0E">
                  <w:pPr>
                    <w:spacing w:after="0" w:line="480" w:lineRule="auto"/>
                    <w:rPr>
                      <w:rFonts w:ascii="Times New Roman" w:eastAsia="Times New Roman" w:hAnsi="Times New Roman"/>
                      <w:color w:val="000000"/>
                      <w:sz w:val="24"/>
                      <w:szCs w:val="24"/>
                      <w:lang w:eastAsia="en-US"/>
                    </w:rPr>
                  </w:pPr>
                  <w:r w:rsidRPr="006B5E0E">
                    <w:rPr>
                      <w:rFonts w:ascii="Times New Roman" w:eastAsia="Times New Roman" w:hAnsi="Times New Roman"/>
                      <w:color w:val="000000"/>
                      <w:sz w:val="24"/>
                      <w:szCs w:val="24"/>
                      <w:lang w:eastAsia="en-US"/>
                    </w:rPr>
                    <w:t>On Shore vs. Off-Shore</w:t>
                  </w:r>
                </w:p>
              </w:tc>
              <w:tc>
                <w:tcPr>
                  <w:tcW w:w="1300" w:type="dxa"/>
                  <w:tcBorders>
                    <w:top w:val="nil"/>
                    <w:left w:val="nil"/>
                    <w:bottom w:val="nil"/>
                    <w:right w:val="nil"/>
                  </w:tcBorders>
                  <w:shd w:val="clear" w:color="auto" w:fill="auto"/>
                  <w:noWrap/>
                  <w:vAlign w:val="bottom"/>
                  <w:hideMark/>
                </w:tcPr>
                <w:p w:rsidR="00805EE0" w:rsidRPr="006B5E0E" w:rsidRDefault="00805EE0" w:rsidP="006B5E0E">
                  <w:pPr>
                    <w:spacing w:after="0" w:line="480" w:lineRule="auto"/>
                    <w:jc w:val="right"/>
                    <w:rPr>
                      <w:rFonts w:ascii="Times New Roman" w:eastAsia="Times New Roman" w:hAnsi="Times New Roman"/>
                      <w:color w:val="000000"/>
                      <w:sz w:val="24"/>
                      <w:szCs w:val="24"/>
                      <w:lang w:eastAsia="en-US"/>
                    </w:rPr>
                  </w:pPr>
                  <w:r w:rsidRPr="006B5E0E">
                    <w:rPr>
                      <w:rFonts w:ascii="Times New Roman" w:eastAsia="Times New Roman" w:hAnsi="Times New Roman"/>
                      <w:color w:val="000000"/>
                      <w:sz w:val="24"/>
                      <w:szCs w:val="24"/>
                      <w:lang w:eastAsia="en-US"/>
                    </w:rPr>
                    <w:t>0.65</w:t>
                  </w:r>
                </w:p>
              </w:tc>
              <w:tc>
                <w:tcPr>
                  <w:tcW w:w="1417" w:type="dxa"/>
                  <w:tcBorders>
                    <w:top w:val="nil"/>
                    <w:left w:val="nil"/>
                    <w:bottom w:val="nil"/>
                    <w:right w:val="nil"/>
                  </w:tcBorders>
                  <w:shd w:val="clear" w:color="auto" w:fill="auto"/>
                  <w:noWrap/>
                  <w:vAlign w:val="bottom"/>
                  <w:hideMark/>
                </w:tcPr>
                <w:p w:rsidR="00805EE0" w:rsidRPr="006B5E0E" w:rsidRDefault="00805EE0" w:rsidP="006B5E0E">
                  <w:pPr>
                    <w:spacing w:after="0" w:line="480" w:lineRule="auto"/>
                    <w:jc w:val="right"/>
                    <w:rPr>
                      <w:rFonts w:ascii="Times New Roman" w:eastAsia="Times New Roman" w:hAnsi="Times New Roman"/>
                      <w:color w:val="000000"/>
                      <w:sz w:val="24"/>
                      <w:szCs w:val="24"/>
                      <w:lang w:eastAsia="en-US"/>
                    </w:rPr>
                  </w:pPr>
                  <w:r w:rsidRPr="006B5E0E">
                    <w:rPr>
                      <w:rFonts w:ascii="Times New Roman" w:eastAsia="Times New Roman" w:hAnsi="Times New Roman"/>
                      <w:color w:val="000000"/>
                      <w:sz w:val="24"/>
                      <w:szCs w:val="24"/>
                      <w:lang w:eastAsia="en-US"/>
                    </w:rPr>
                    <w:t>0.44</w:t>
                  </w:r>
                </w:p>
              </w:tc>
              <w:tc>
                <w:tcPr>
                  <w:tcW w:w="1300" w:type="dxa"/>
                  <w:tcBorders>
                    <w:top w:val="nil"/>
                    <w:left w:val="nil"/>
                    <w:bottom w:val="nil"/>
                    <w:right w:val="nil"/>
                  </w:tcBorders>
                  <w:shd w:val="clear" w:color="auto" w:fill="auto"/>
                  <w:noWrap/>
                  <w:vAlign w:val="bottom"/>
                  <w:hideMark/>
                </w:tcPr>
                <w:p w:rsidR="00805EE0" w:rsidRPr="006B5E0E" w:rsidRDefault="00805EE0" w:rsidP="006B5E0E">
                  <w:pPr>
                    <w:spacing w:after="0" w:line="480" w:lineRule="auto"/>
                    <w:jc w:val="right"/>
                    <w:rPr>
                      <w:rFonts w:ascii="Times New Roman" w:eastAsia="Times New Roman" w:hAnsi="Times New Roman"/>
                      <w:color w:val="000000"/>
                      <w:sz w:val="24"/>
                      <w:szCs w:val="24"/>
                      <w:lang w:eastAsia="en-US"/>
                    </w:rPr>
                  </w:pPr>
                  <w:r w:rsidRPr="006B5E0E">
                    <w:rPr>
                      <w:rFonts w:ascii="Times New Roman" w:eastAsia="Times New Roman" w:hAnsi="Times New Roman"/>
                      <w:color w:val="000000"/>
                      <w:sz w:val="24"/>
                      <w:szCs w:val="24"/>
                      <w:lang w:eastAsia="en-US"/>
                    </w:rPr>
                    <w:t>0.64</w:t>
                  </w:r>
                </w:p>
              </w:tc>
              <w:tc>
                <w:tcPr>
                  <w:tcW w:w="1622" w:type="dxa"/>
                  <w:tcBorders>
                    <w:top w:val="nil"/>
                    <w:left w:val="nil"/>
                    <w:bottom w:val="nil"/>
                    <w:right w:val="nil"/>
                  </w:tcBorders>
                  <w:shd w:val="clear" w:color="auto" w:fill="auto"/>
                  <w:noWrap/>
                  <w:vAlign w:val="bottom"/>
                  <w:hideMark/>
                </w:tcPr>
                <w:p w:rsidR="00805EE0" w:rsidRPr="006B5E0E" w:rsidRDefault="00805EE0" w:rsidP="006B5E0E">
                  <w:pPr>
                    <w:spacing w:after="0" w:line="480" w:lineRule="auto"/>
                    <w:jc w:val="right"/>
                    <w:rPr>
                      <w:rFonts w:ascii="Times New Roman" w:eastAsia="Times New Roman" w:hAnsi="Times New Roman"/>
                      <w:color w:val="000000"/>
                      <w:sz w:val="24"/>
                      <w:szCs w:val="24"/>
                      <w:lang w:eastAsia="en-US"/>
                    </w:rPr>
                  </w:pPr>
                  <w:r w:rsidRPr="006B5E0E">
                    <w:rPr>
                      <w:rFonts w:ascii="Times New Roman" w:eastAsia="Times New Roman" w:hAnsi="Times New Roman"/>
                      <w:color w:val="000000"/>
                      <w:sz w:val="24"/>
                      <w:szCs w:val="24"/>
                      <w:lang w:eastAsia="en-US"/>
                    </w:rPr>
                    <w:t>0.64</w:t>
                  </w:r>
                </w:p>
              </w:tc>
            </w:tr>
            <w:tr w:rsidR="00805EE0" w:rsidRPr="006B5E0E" w:rsidTr="00831BB5">
              <w:trPr>
                <w:trHeight w:val="300"/>
              </w:trPr>
              <w:tc>
                <w:tcPr>
                  <w:tcW w:w="2500" w:type="dxa"/>
                  <w:tcBorders>
                    <w:top w:val="nil"/>
                    <w:left w:val="nil"/>
                    <w:bottom w:val="nil"/>
                    <w:right w:val="nil"/>
                  </w:tcBorders>
                  <w:shd w:val="clear" w:color="auto" w:fill="auto"/>
                  <w:noWrap/>
                  <w:vAlign w:val="bottom"/>
                  <w:hideMark/>
                </w:tcPr>
                <w:p w:rsidR="00805EE0" w:rsidRPr="006B5E0E" w:rsidRDefault="00805EE0" w:rsidP="006B5E0E">
                  <w:pPr>
                    <w:spacing w:after="0" w:line="480" w:lineRule="auto"/>
                    <w:rPr>
                      <w:rFonts w:ascii="Times New Roman" w:eastAsia="Times New Roman" w:hAnsi="Times New Roman"/>
                      <w:color w:val="000000"/>
                      <w:sz w:val="24"/>
                      <w:szCs w:val="24"/>
                      <w:lang w:eastAsia="en-US"/>
                    </w:rPr>
                  </w:pPr>
                  <w:r w:rsidRPr="006B5E0E">
                    <w:rPr>
                      <w:rFonts w:ascii="Times New Roman" w:eastAsia="Times New Roman" w:hAnsi="Times New Roman"/>
                      <w:color w:val="000000"/>
                      <w:sz w:val="24"/>
                      <w:szCs w:val="24"/>
                      <w:lang w:eastAsia="en-US"/>
                    </w:rPr>
                    <w:t>Balance Sheet Focus</w:t>
                  </w:r>
                </w:p>
              </w:tc>
              <w:tc>
                <w:tcPr>
                  <w:tcW w:w="1300" w:type="dxa"/>
                  <w:tcBorders>
                    <w:top w:val="nil"/>
                    <w:left w:val="nil"/>
                    <w:bottom w:val="nil"/>
                    <w:right w:val="nil"/>
                  </w:tcBorders>
                  <w:shd w:val="clear" w:color="auto" w:fill="auto"/>
                  <w:noWrap/>
                  <w:vAlign w:val="bottom"/>
                  <w:hideMark/>
                </w:tcPr>
                <w:p w:rsidR="00805EE0" w:rsidRPr="006B5E0E" w:rsidRDefault="00805EE0" w:rsidP="006B5E0E">
                  <w:pPr>
                    <w:spacing w:after="0" w:line="480" w:lineRule="auto"/>
                    <w:jc w:val="right"/>
                    <w:rPr>
                      <w:rFonts w:ascii="Times New Roman" w:eastAsia="Times New Roman" w:hAnsi="Times New Roman"/>
                      <w:b/>
                      <w:color w:val="000000"/>
                      <w:sz w:val="24"/>
                      <w:szCs w:val="24"/>
                      <w:u w:val="single"/>
                      <w:lang w:eastAsia="en-US"/>
                    </w:rPr>
                  </w:pPr>
                  <w:r w:rsidRPr="006B5E0E">
                    <w:rPr>
                      <w:rFonts w:ascii="Times New Roman" w:eastAsia="Times New Roman" w:hAnsi="Times New Roman"/>
                      <w:b/>
                      <w:color w:val="000000"/>
                      <w:sz w:val="24"/>
                      <w:szCs w:val="24"/>
                      <w:u w:val="single"/>
                      <w:lang w:eastAsia="en-US"/>
                    </w:rPr>
                    <w:t>0.75</w:t>
                  </w:r>
                </w:p>
              </w:tc>
              <w:tc>
                <w:tcPr>
                  <w:tcW w:w="1417" w:type="dxa"/>
                  <w:tcBorders>
                    <w:top w:val="nil"/>
                    <w:left w:val="nil"/>
                    <w:bottom w:val="nil"/>
                    <w:right w:val="nil"/>
                  </w:tcBorders>
                  <w:shd w:val="clear" w:color="auto" w:fill="auto"/>
                  <w:noWrap/>
                  <w:vAlign w:val="bottom"/>
                  <w:hideMark/>
                </w:tcPr>
                <w:p w:rsidR="00805EE0" w:rsidRPr="006B5E0E" w:rsidRDefault="00805EE0" w:rsidP="006B5E0E">
                  <w:pPr>
                    <w:spacing w:after="0" w:line="480" w:lineRule="auto"/>
                    <w:jc w:val="right"/>
                    <w:rPr>
                      <w:rFonts w:ascii="Times New Roman" w:eastAsia="Times New Roman" w:hAnsi="Times New Roman"/>
                      <w:color w:val="000000"/>
                      <w:sz w:val="24"/>
                      <w:szCs w:val="24"/>
                      <w:lang w:eastAsia="en-US"/>
                    </w:rPr>
                  </w:pPr>
                  <w:r w:rsidRPr="006B5E0E">
                    <w:rPr>
                      <w:rFonts w:ascii="Times New Roman" w:eastAsia="Times New Roman" w:hAnsi="Times New Roman"/>
                      <w:color w:val="000000"/>
                      <w:sz w:val="24"/>
                      <w:szCs w:val="24"/>
                      <w:lang w:eastAsia="en-US"/>
                    </w:rPr>
                    <w:t>0.43</w:t>
                  </w:r>
                </w:p>
              </w:tc>
              <w:tc>
                <w:tcPr>
                  <w:tcW w:w="1300" w:type="dxa"/>
                  <w:tcBorders>
                    <w:top w:val="nil"/>
                    <w:left w:val="nil"/>
                    <w:bottom w:val="nil"/>
                    <w:right w:val="nil"/>
                  </w:tcBorders>
                  <w:shd w:val="clear" w:color="auto" w:fill="auto"/>
                  <w:noWrap/>
                  <w:vAlign w:val="bottom"/>
                  <w:hideMark/>
                </w:tcPr>
                <w:p w:rsidR="00805EE0" w:rsidRPr="006B5E0E" w:rsidRDefault="00805EE0" w:rsidP="006B5E0E">
                  <w:pPr>
                    <w:spacing w:after="0" w:line="480" w:lineRule="auto"/>
                    <w:jc w:val="right"/>
                    <w:rPr>
                      <w:rFonts w:ascii="Times New Roman" w:eastAsia="Times New Roman" w:hAnsi="Times New Roman"/>
                      <w:color w:val="000000"/>
                      <w:sz w:val="24"/>
                      <w:szCs w:val="24"/>
                      <w:lang w:eastAsia="en-US"/>
                    </w:rPr>
                  </w:pPr>
                  <w:r w:rsidRPr="006B5E0E">
                    <w:rPr>
                      <w:rFonts w:ascii="Times New Roman" w:eastAsia="Times New Roman" w:hAnsi="Times New Roman"/>
                      <w:color w:val="000000"/>
                      <w:sz w:val="24"/>
                      <w:szCs w:val="24"/>
                      <w:lang w:eastAsia="en-US"/>
                    </w:rPr>
                    <w:t>0.43</w:t>
                  </w:r>
                </w:p>
              </w:tc>
              <w:tc>
                <w:tcPr>
                  <w:tcW w:w="1622" w:type="dxa"/>
                  <w:tcBorders>
                    <w:top w:val="nil"/>
                    <w:left w:val="nil"/>
                    <w:bottom w:val="nil"/>
                    <w:right w:val="nil"/>
                  </w:tcBorders>
                  <w:shd w:val="clear" w:color="auto" w:fill="auto"/>
                  <w:noWrap/>
                  <w:vAlign w:val="bottom"/>
                  <w:hideMark/>
                </w:tcPr>
                <w:p w:rsidR="00805EE0" w:rsidRPr="006B5E0E" w:rsidRDefault="00805EE0" w:rsidP="006B5E0E">
                  <w:pPr>
                    <w:spacing w:after="0" w:line="480" w:lineRule="auto"/>
                    <w:jc w:val="right"/>
                    <w:rPr>
                      <w:rFonts w:ascii="Times New Roman" w:eastAsia="Times New Roman" w:hAnsi="Times New Roman"/>
                      <w:color w:val="000000"/>
                      <w:sz w:val="24"/>
                      <w:szCs w:val="24"/>
                      <w:lang w:eastAsia="en-US"/>
                    </w:rPr>
                  </w:pPr>
                  <w:r w:rsidRPr="006B5E0E">
                    <w:rPr>
                      <w:rFonts w:ascii="Times New Roman" w:eastAsia="Times New Roman" w:hAnsi="Times New Roman"/>
                      <w:color w:val="000000"/>
                      <w:sz w:val="24"/>
                      <w:szCs w:val="24"/>
                      <w:lang w:eastAsia="en-US"/>
                    </w:rPr>
                    <w:t>0.68</w:t>
                  </w:r>
                </w:p>
              </w:tc>
            </w:tr>
          </w:tbl>
          <w:p w:rsidR="00805EE0" w:rsidRPr="006B5E0E" w:rsidRDefault="00805EE0" w:rsidP="006B5E0E">
            <w:pPr>
              <w:spacing w:after="0" w:line="480" w:lineRule="auto"/>
              <w:rPr>
                <w:rFonts w:ascii="Times New Roman" w:eastAsia="Times New Roman" w:hAnsi="Times New Roman"/>
                <w:color w:val="000000"/>
                <w:sz w:val="24"/>
                <w:szCs w:val="24"/>
                <w:lang w:eastAsia="en-US"/>
              </w:rPr>
            </w:pPr>
          </w:p>
          <w:p w:rsidR="00C169BE" w:rsidRPr="006B5E0E" w:rsidRDefault="00C169BE" w:rsidP="006B5E0E">
            <w:pPr>
              <w:spacing w:after="0" w:line="480" w:lineRule="auto"/>
              <w:rPr>
                <w:rFonts w:ascii="Times New Roman" w:eastAsia="Times New Roman" w:hAnsi="Times New Roman"/>
                <w:color w:val="000000"/>
                <w:sz w:val="24"/>
                <w:szCs w:val="24"/>
                <w:lang w:eastAsia="en-US"/>
              </w:rPr>
            </w:pPr>
            <w:r w:rsidRPr="006B5E0E">
              <w:rPr>
                <w:rFonts w:ascii="Times New Roman" w:eastAsia="Times New Roman" w:hAnsi="Times New Roman"/>
                <w:color w:val="000000"/>
                <w:sz w:val="24"/>
                <w:szCs w:val="24"/>
                <w:lang w:eastAsia="en-US"/>
              </w:rPr>
              <w:t xml:space="preserve">Conclusion: confirm F ~ 9, if </w:t>
            </w:r>
            <w:proofErr w:type="spellStart"/>
            <w:r w:rsidRPr="006B5E0E">
              <w:rPr>
                <w:rFonts w:ascii="Times New Roman" w:eastAsia="Times New Roman" w:hAnsi="Times New Roman"/>
                <w:color w:val="000000"/>
                <w:sz w:val="24"/>
                <w:szCs w:val="24"/>
                <w:lang w:eastAsia="en-US"/>
              </w:rPr>
              <w:t>corr</w:t>
            </w:r>
            <w:proofErr w:type="spellEnd"/>
            <w:r w:rsidRPr="006B5E0E">
              <w:rPr>
                <w:rFonts w:ascii="Times New Roman" w:eastAsia="Times New Roman" w:hAnsi="Times New Roman"/>
                <w:color w:val="000000"/>
                <w:sz w:val="24"/>
                <w:szCs w:val="24"/>
                <w:lang w:eastAsia="en-US"/>
              </w:rPr>
              <w:t xml:space="preserve"> &gt; 0.5 = sig., ALL, if </w:t>
            </w:r>
            <w:proofErr w:type="spellStart"/>
            <w:r w:rsidRPr="006B5E0E">
              <w:rPr>
                <w:rFonts w:ascii="Times New Roman" w:eastAsia="Times New Roman" w:hAnsi="Times New Roman"/>
                <w:color w:val="000000"/>
                <w:sz w:val="24"/>
                <w:szCs w:val="24"/>
                <w:lang w:eastAsia="en-US"/>
              </w:rPr>
              <w:t>corr</w:t>
            </w:r>
            <w:proofErr w:type="spellEnd"/>
            <w:r w:rsidRPr="006B5E0E">
              <w:rPr>
                <w:rFonts w:ascii="Times New Roman" w:eastAsia="Times New Roman" w:hAnsi="Times New Roman"/>
                <w:color w:val="000000"/>
                <w:sz w:val="24"/>
                <w:szCs w:val="24"/>
                <w:lang w:eastAsia="en-US"/>
              </w:rPr>
              <w:t xml:space="preserve"> &gt; 0.6, </w:t>
            </w:r>
            <w:proofErr w:type="gramStart"/>
            <w:r w:rsidRPr="00987155">
              <w:rPr>
                <w:rFonts w:ascii="Times New Roman" w:eastAsia="Times New Roman" w:hAnsi="Times New Roman"/>
                <w:color w:val="0070C0"/>
                <w:sz w:val="24"/>
                <w:szCs w:val="24"/>
                <w:lang w:eastAsia="en-US"/>
              </w:rPr>
              <w:t xml:space="preserve">8F </w:t>
            </w:r>
            <w:r w:rsidRPr="006B5E0E">
              <w:rPr>
                <w:rFonts w:ascii="Times New Roman" w:eastAsia="Times New Roman" w:hAnsi="Times New Roman"/>
                <w:color w:val="000000"/>
                <w:sz w:val="24"/>
                <w:szCs w:val="24"/>
                <w:lang w:eastAsia="en-US"/>
              </w:rPr>
              <w:t>?</w:t>
            </w:r>
            <w:proofErr w:type="gramEnd"/>
          </w:p>
        </w:tc>
      </w:tr>
    </w:tbl>
    <w:p w:rsidR="00F47290" w:rsidRPr="006B5E0E" w:rsidRDefault="00F47290" w:rsidP="006B5E0E">
      <w:pPr>
        <w:spacing w:before="100" w:beforeAutospacing="1" w:after="100" w:afterAutospacing="1" w:line="480" w:lineRule="auto"/>
        <w:rPr>
          <w:rFonts w:ascii="Times New Roman" w:eastAsia="Times New Roman" w:hAnsi="Times New Roman"/>
          <w:sz w:val="24"/>
          <w:szCs w:val="24"/>
        </w:rPr>
      </w:pPr>
    </w:p>
    <w:p w:rsidR="00ED0A6D" w:rsidRPr="006B5E0E" w:rsidRDefault="00ED0A6D" w:rsidP="006B5E0E">
      <w:pPr>
        <w:spacing w:after="0" w:line="480" w:lineRule="auto"/>
        <w:rPr>
          <w:rFonts w:ascii="Times New Roman" w:hAnsi="Times New Roman"/>
          <w:sz w:val="24"/>
          <w:szCs w:val="24"/>
        </w:rPr>
      </w:pPr>
      <w:r w:rsidRPr="006B5E0E">
        <w:rPr>
          <w:rFonts w:ascii="Times New Roman" w:hAnsi="Times New Roman"/>
          <w:sz w:val="24"/>
          <w:szCs w:val="24"/>
        </w:rPr>
        <w:br w:type="page"/>
      </w:r>
    </w:p>
    <w:p w:rsidR="00887DE5" w:rsidRPr="006B5E0E" w:rsidRDefault="00887DE5" w:rsidP="00C72559">
      <w:pPr>
        <w:widowControl w:val="0"/>
        <w:autoSpaceDE w:val="0"/>
        <w:autoSpaceDN w:val="0"/>
        <w:adjustRightInd w:val="0"/>
        <w:spacing w:after="0" w:line="480" w:lineRule="auto"/>
        <w:rPr>
          <w:rFonts w:ascii="Times New Roman" w:eastAsiaTheme="minorEastAsia" w:hAnsi="Times New Roman"/>
          <w:sz w:val="24"/>
          <w:szCs w:val="24"/>
          <w:lang w:eastAsia="en-US"/>
        </w:rPr>
      </w:pPr>
      <w:r w:rsidRPr="006B5E0E">
        <w:rPr>
          <w:rFonts w:ascii="Times New Roman" w:eastAsiaTheme="minorEastAsia" w:hAnsi="Times New Roman"/>
          <w:sz w:val="24"/>
          <w:szCs w:val="24"/>
          <w:lang w:eastAsia="en-US"/>
        </w:rPr>
        <w:lastRenderedPageBreak/>
        <w:t xml:space="preserve">Table </w:t>
      </w:r>
      <w:r w:rsidR="00C72559">
        <w:rPr>
          <w:rFonts w:ascii="Times New Roman" w:eastAsiaTheme="minorEastAsia" w:hAnsi="Times New Roman"/>
          <w:sz w:val="24"/>
          <w:szCs w:val="24"/>
          <w:lang w:eastAsia="en-US"/>
        </w:rPr>
        <w:t>5</w:t>
      </w:r>
      <w:r w:rsidR="00C72559" w:rsidRPr="006B5E0E">
        <w:rPr>
          <w:rFonts w:ascii="Times New Roman" w:hAnsi="Times New Roman"/>
          <w:sz w:val="24"/>
          <w:szCs w:val="24"/>
        </w:rPr>
        <w:t xml:space="preserve">: </w:t>
      </w:r>
      <w:r w:rsidR="00C72559" w:rsidRPr="00487E4B">
        <w:rPr>
          <w:rFonts w:ascii="Times New Roman" w:hAnsi="Times New Roman"/>
          <w:sz w:val="24"/>
          <w:szCs w:val="24"/>
        </w:rPr>
        <w:t>ANOVA analysis of the behavioral relationships</w:t>
      </w:r>
    </w:p>
    <w:p w:rsidR="00887DE5" w:rsidRPr="006B5E0E" w:rsidRDefault="00887DE5" w:rsidP="006B5E0E">
      <w:pPr>
        <w:widowControl w:val="0"/>
        <w:autoSpaceDE w:val="0"/>
        <w:autoSpaceDN w:val="0"/>
        <w:adjustRightInd w:val="0"/>
        <w:spacing w:after="0" w:line="480" w:lineRule="auto"/>
        <w:rPr>
          <w:rFonts w:ascii="Times New Roman" w:eastAsiaTheme="minorEastAsia" w:hAnsi="Times New Roman"/>
          <w:sz w:val="24"/>
          <w:szCs w:val="24"/>
          <w:lang w:eastAsia="en-US"/>
        </w:rPr>
      </w:pPr>
    </w:p>
    <w:tbl>
      <w:tblPr>
        <w:tblW w:w="10279" w:type="dxa"/>
        <w:tblInd w:w="-8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3014"/>
        <w:gridCol w:w="1337"/>
        <w:gridCol w:w="1562"/>
        <w:gridCol w:w="1073"/>
        <w:gridCol w:w="1581"/>
        <w:gridCol w:w="771"/>
        <w:gridCol w:w="941"/>
      </w:tblGrid>
      <w:tr w:rsidR="00887DE5" w:rsidRPr="006B5E0E" w:rsidTr="00773316">
        <w:trPr>
          <w:cantSplit/>
        </w:trPr>
        <w:tc>
          <w:tcPr>
            <w:tcW w:w="10279" w:type="dxa"/>
            <w:gridSpan w:val="7"/>
            <w:tcBorders>
              <w:top w:val="nil"/>
              <w:left w:val="nil"/>
              <w:bottom w:val="nil"/>
              <w:right w:val="nil"/>
            </w:tcBorders>
            <w:shd w:val="clear" w:color="auto" w:fill="FFFFFF"/>
          </w:tcPr>
          <w:p w:rsidR="00887DE5" w:rsidRPr="006B5E0E" w:rsidRDefault="00887DE5" w:rsidP="006B5E0E">
            <w:pPr>
              <w:widowControl w:val="0"/>
              <w:autoSpaceDE w:val="0"/>
              <w:autoSpaceDN w:val="0"/>
              <w:adjustRightInd w:val="0"/>
              <w:spacing w:after="0" w:line="480" w:lineRule="auto"/>
              <w:ind w:left="60" w:right="60"/>
              <w:jc w:val="center"/>
              <w:rPr>
                <w:rFonts w:ascii="Times New Roman" w:eastAsiaTheme="minorEastAsia" w:hAnsi="Times New Roman"/>
                <w:color w:val="000000"/>
                <w:sz w:val="24"/>
                <w:szCs w:val="24"/>
                <w:lang w:eastAsia="en-US"/>
              </w:rPr>
            </w:pPr>
            <w:r w:rsidRPr="006B5E0E">
              <w:rPr>
                <w:rFonts w:ascii="Times New Roman" w:eastAsiaTheme="minorEastAsia" w:hAnsi="Times New Roman"/>
                <w:b/>
                <w:bCs/>
                <w:color w:val="000000"/>
                <w:sz w:val="24"/>
                <w:szCs w:val="24"/>
                <w:lang w:eastAsia="en-US"/>
              </w:rPr>
              <w:t>ANOVA</w:t>
            </w:r>
          </w:p>
        </w:tc>
      </w:tr>
      <w:tr w:rsidR="00887DE5" w:rsidRPr="006B5E0E" w:rsidTr="00773316">
        <w:trPr>
          <w:cantSplit/>
        </w:trPr>
        <w:tc>
          <w:tcPr>
            <w:tcW w:w="4351" w:type="dxa"/>
            <w:gridSpan w:val="2"/>
            <w:tcBorders>
              <w:top w:val="single" w:sz="16" w:space="0" w:color="000000"/>
              <w:left w:val="single" w:sz="16" w:space="0" w:color="000000"/>
              <w:bottom w:val="single" w:sz="16" w:space="0" w:color="000000"/>
              <w:right w:val="nil"/>
            </w:tcBorders>
            <w:shd w:val="clear" w:color="auto" w:fill="FFFFFF"/>
          </w:tcPr>
          <w:p w:rsidR="00887DE5" w:rsidRPr="006B5E0E" w:rsidRDefault="00887DE5" w:rsidP="006B5E0E">
            <w:pPr>
              <w:widowControl w:val="0"/>
              <w:autoSpaceDE w:val="0"/>
              <w:autoSpaceDN w:val="0"/>
              <w:adjustRightInd w:val="0"/>
              <w:spacing w:after="0" w:line="480" w:lineRule="auto"/>
              <w:rPr>
                <w:rFonts w:ascii="Times New Roman" w:eastAsiaTheme="minorEastAsia" w:hAnsi="Times New Roman"/>
                <w:sz w:val="24"/>
                <w:szCs w:val="24"/>
                <w:lang w:eastAsia="en-US"/>
              </w:rPr>
            </w:pPr>
          </w:p>
        </w:tc>
        <w:tc>
          <w:tcPr>
            <w:tcW w:w="1562" w:type="dxa"/>
            <w:tcBorders>
              <w:top w:val="single" w:sz="16" w:space="0" w:color="000000"/>
              <w:left w:val="single" w:sz="16" w:space="0" w:color="000000"/>
              <w:bottom w:val="single" w:sz="16" w:space="0" w:color="000000"/>
            </w:tcBorders>
            <w:shd w:val="clear" w:color="auto" w:fill="FFFFFF"/>
          </w:tcPr>
          <w:p w:rsidR="00887DE5" w:rsidRPr="006B5E0E" w:rsidRDefault="00887DE5" w:rsidP="006B5E0E">
            <w:pPr>
              <w:widowControl w:val="0"/>
              <w:autoSpaceDE w:val="0"/>
              <w:autoSpaceDN w:val="0"/>
              <w:adjustRightInd w:val="0"/>
              <w:spacing w:after="0" w:line="480" w:lineRule="auto"/>
              <w:ind w:left="60" w:right="60"/>
              <w:jc w:val="center"/>
              <w:rPr>
                <w:rFonts w:ascii="Times New Roman" w:eastAsiaTheme="minorEastAsia" w:hAnsi="Times New Roman"/>
                <w:color w:val="000000"/>
                <w:sz w:val="24"/>
                <w:szCs w:val="24"/>
                <w:lang w:eastAsia="en-US"/>
              </w:rPr>
            </w:pPr>
            <w:r w:rsidRPr="006B5E0E">
              <w:rPr>
                <w:rFonts w:ascii="Times New Roman" w:eastAsiaTheme="minorEastAsia" w:hAnsi="Times New Roman"/>
                <w:color w:val="000000"/>
                <w:sz w:val="24"/>
                <w:szCs w:val="24"/>
                <w:lang w:eastAsia="en-US"/>
              </w:rPr>
              <w:t>Sum of Squares</w:t>
            </w:r>
          </w:p>
        </w:tc>
        <w:tc>
          <w:tcPr>
            <w:tcW w:w="1073" w:type="dxa"/>
            <w:tcBorders>
              <w:top w:val="single" w:sz="16" w:space="0" w:color="000000"/>
              <w:bottom w:val="single" w:sz="16" w:space="0" w:color="000000"/>
            </w:tcBorders>
            <w:shd w:val="clear" w:color="auto" w:fill="FFFFFF"/>
          </w:tcPr>
          <w:p w:rsidR="00887DE5" w:rsidRPr="006B5E0E" w:rsidRDefault="00887DE5" w:rsidP="006B5E0E">
            <w:pPr>
              <w:widowControl w:val="0"/>
              <w:autoSpaceDE w:val="0"/>
              <w:autoSpaceDN w:val="0"/>
              <w:adjustRightInd w:val="0"/>
              <w:spacing w:after="0" w:line="480" w:lineRule="auto"/>
              <w:ind w:left="60" w:right="60"/>
              <w:jc w:val="center"/>
              <w:rPr>
                <w:rFonts w:ascii="Times New Roman" w:eastAsiaTheme="minorEastAsia" w:hAnsi="Times New Roman"/>
                <w:color w:val="000000"/>
                <w:sz w:val="24"/>
                <w:szCs w:val="24"/>
                <w:lang w:eastAsia="en-US"/>
              </w:rPr>
            </w:pPr>
            <w:proofErr w:type="spellStart"/>
            <w:r w:rsidRPr="006B5E0E">
              <w:rPr>
                <w:rFonts w:ascii="Times New Roman" w:eastAsiaTheme="minorEastAsia" w:hAnsi="Times New Roman"/>
                <w:color w:val="000000"/>
                <w:sz w:val="24"/>
                <w:szCs w:val="24"/>
                <w:lang w:eastAsia="en-US"/>
              </w:rPr>
              <w:t>df</w:t>
            </w:r>
            <w:proofErr w:type="spellEnd"/>
          </w:p>
        </w:tc>
        <w:tc>
          <w:tcPr>
            <w:tcW w:w="1581" w:type="dxa"/>
            <w:tcBorders>
              <w:top w:val="single" w:sz="16" w:space="0" w:color="000000"/>
              <w:bottom w:val="single" w:sz="16" w:space="0" w:color="000000"/>
            </w:tcBorders>
            <w:shd w:val="clear" w:color="auto" w:fill="FFFFFF"/>
          </w:tcPr>
          <w:p w:rsidR="00887DE5" w:rsidRPr="006B5E0E" w:rsidRDefault="00887DE5" w:rsidP="006B5E0E">
            <w:pPr>
              <w:widowControl w:val="0"/>
              <w:autoSpaceDE w:val="0"/>
              <w:autoSpaceDN w:val="0"/>
              <w:adjustRightInd w:val="0"/>
              <w:spacing w:after="0" w:line="480" w:lineRule="auto"/>
              <w:ind w:left="60" w:right="60"/>
              <w:jc w:val="center"/>
              <w:rPr>
                <w:rFonts w:ascii="Times New Roman" w:eastAsiaTheme="minorEastAsia" w:hAnsi="Times New Roman"/>
                <w:color w:val="000000"/>
                <w:sz w:val="24"/>
                <w:szCs w:val="24"/>
                <w:lang w:eastAsia="en-US"/>
              </w:rPr>
            </w:pPr>
            <w:r w:rsidRPr="006B5E0E">
              <w:rPr>
                <w:rFonts w:ascii="Times New Roman" w:eastAsiaTheme="minorEastAsia" w:hAnsi="Times New Roman"/>
                <w:color w:val="000000"/>
                <w:sz w:val="24"/>
                <w:szCs w:val="24"/>
                <w:lang w:eastAsia="en-US"/>
              </w:rPr>
              <w:t>Mean Square</w:t>
            </w:r>
          </w:p>
        </w:tc>
        <w:tc>
          <w:tcPr>
            <w:tcW w:w="771" w:type="dxa"/>
            <w:tcBorders>
              <w:top w:val="single" w:sz="16" w:space="0" w:color="000000"/>
              <w:bottom w:val="single" w:sz="16" w:space="0" w:color="000000"/>
            </w:tcBorders>
            <w:shd w:val="clear" w:color="auto" w:fill="FFFFFF"/>
          </w:tcPr>
          <w:p w:rsidR="00887DE5" w:rsidRPr="006B5E0E" w:rsidRDefault="00887DE5" w:rsidP="006B5E0E">
            <w:pPr>
              <w:widowControl w:val="0"/>
              <w:autoSpaceDE w:val="0"/>
              <w:autoSpaceDN w:val="0"/>
              <w:adjustRightInd w:val="0"/>
              <w:spacing w:after="0" w:line="480" w:lineRule="auto"/>
              <w:ind w:left="60" w:right="60"/>
              <w:jc w:val="center"/>
              <w:rPr>
                <w:rFonts w:ascii="Times New Roman" w:eastAsiaTheme="minorEastAsia" w:hAnsi="Times New Roman"/>
                <w:color w:val="000000"/>
                <w:sz w:val="24"/>
                <w:szCs w:val="24"/>
                <w:lang w:eastAsia="en-US"/>
              </w:rPr>
            </w:pPr>
            <w:r w:rsidRPr="006B5E0E">
              <w:rPr>
                <w:rFonts w:ascii="Times New Roman" w:eastAsiaTheme="minorEastAsia" w:hAnsi="Times New Roman"/>
                <w:color w:val="000000"/>
                <w:sz w:val="24"/>
                <w:szCs w:val="24"/>
                <w:lang w:eastAsia="en-US"/>
              </w:rPr>
              <w:t>F</w:t>
            </w:r>
          </w:p>
        </w:tc>
        <w:tc>
          <w:tcPr>
            <w:tcW w:w="941" w:type="dxa"/>
            <w:tcBorders>
              <w:top w:val="single" w:sz="16" w:space="0" w:color="000000"/>
              <w:bottom w:val="single" w:sz="16" w:space="0" w:color="000000"/>
              <w:right w:val="single" w:sz="16" w:space="0" w:color="000000"/>
            </w:tcBorders>
            <w:shd w:val="clear" w:color="auto" w:fill="FFFFFF"/>
          </w:tcPr>
          <w:p w:rsidR="00887DE5" w:rsidRPr="006B5E0E" w:rsidRDefault="00887DE5" w:rsidP="006B5E0E">
            <w:pPr>
              <w:widowControl w:val="0"/>
              <w:autoSpaceDE w:val="0"/>
              <w:autoSpaceDN w:val="0"/>
              <w:adjustRightInd w:val="0"/>
              <w:spacing w:after="0" w:line="480" w:lineRule="auto"/>
              <w:ind w:left="60" w:right="60"/>
              <w:jc w:val="center"/>
              <w:rPr>
                <w:rFonts w:ascii="Times New Roman" w:eastAsiaTheme="minorEastAsia" w:hAnsi="Times New Roman"/>
                <w:color w:val="000000"/>
                <w:sz w:val="24"/>
                <w:szCs w:val="24"/>
                <w:lang w:eastAsia="en-US"/>
              </w:rPr>
            </w:pPr>
            <w:r w:rsidRPr="006B5E0E">
              <w:rPr>
                <w:rFonts w:ascii="Times New Roman" w:eastAsiaTheme="minorEastAsia" w:hAnsi="Times New Roman"/>
                <w:color w:val="000000"/>
                <w:sz w:val="24"/>
                <w:szCs w:val="24"/>
                <w:lang w:eastAsia="en-US"/>
              </w:rPr>
              <w:t>Sig.</w:t>
            </w:r>
          </w:p>
        </w:tc>
      </w:tr>
      <w:tr w:rsidR="00887DE5" w:rsidRPr="006B5E0E" w:rsidTr="00773316">
        <w:trPr>
          <w:cantSplit/>
        </w:trPr>
        <w:tc>
          <w:tcPr>
            <w:tcW w:w="3014" w:type="dxa"/>
            <w:vMerge w:val="restart"/>
            <w:tcBorders>
              <w:top w:val="single" w:sz="16" w:space="0" w:color="000000"/>
              <w:left w:val="single" w:sz="16" w:space="0" w:color="000000"/>
              <w:bottom w:val="nil"/>
              <w:right w:val="nil"/>
            </w:tcBorders>
            <w:shd w:val="clear" w:color="auto" w:fill="FFFFFF"/>
            <w:vAlign w:val="center"/>
          </w:tcPr>
          <w:p w:rsidR="00887DE5" w:rsidRPr="006B5E0E" w:rsidRDefault="00887DE5" w:rsidP="006B5E0E">
            <w:pPr>
              <w:widowControl w:val="0"/>
              <w:autoSpaceDE w:val="0"/>
              <w:autoSpaceDN w:val="0"/>
              <w:adjustRightInd w:val="0"/>
              <w:spacing w:after="0" w:line="480" w:lineRule="auto"/>
              <w:ind w:left="60" w:right="60"/>
              <w:rPr>
                <w:rFonts w:ascii="Times New Roman" w:eastAsiaTheme="minorEastAsia" w:hAnsi="Times New Roman"/>
                <w:color w:val="000000"/>
                <w:sz w:val="24"/>
                <w:szCs w:val="24"/>
                <w:lang w:eastAsia="en-US"/>
              </w:rPr>
            </w:pPr>
            <w:r w:rsidRPr="006B5E0E">
              <w:rPr>
                <w:rFonts w:ascii="Times New Roman" w:eastAsiaTheme="minorEastAsia" w:hAnsi="Times New Roman"/>
                <w:color w:val="000000"/>
                <w:sz w:val="24"/>
                <w:szCs w:val="24"/>
                <w:lang w:eastAsia="en-US"/>
              </w:rPr>
              <w:t>Network Relationship (Confidentiality Vs Information)</w:t>
            </w:r>
          </w:p>
        </w:tc>
        <w:tc>
          <w:tcPr>
            <w:tcW w:w="1337" w:type="dxa"/>
            <w:tcBorders>
              <w:top w:val="single" w:sz="16" w:space="0" w:color="000000"/>
              <w:left w:val="nil"/>
              <w:bottom w:val="nil"/>
              <w:right w:val="single" w:sz="16" w:space="0" w:color="000000"/>
            </w:tcBorders>
            <w:shd w:val="clear" w:color="auto" w:fill="FFFFFF"/>
            <w:vAlign w:val="center"/>
          </w:tcPr>
          <w:p w:rsidR="00887DE5" w:rsidRPr="006B5E0E" w:rsidRDefault="00887DE5" w:rsidP="006B5E0E">
            <w:pPr>
              <w:widowControl w:val="0"/>
              <w:autoSpaceDE w:val="0"/>
              <w:autoSpaceDN w:val="0"/>
              <w:adjustRightInd w:val="0"/>
              <w:spacing w:after="0" w:line="480" w:lineRule="auto"/>
              <w:ind w:left="60" w:right="60"/>
              <w:rPr>
                <w:rFonts w:ascii="Times New Roman" w:eastAsiaTheme="minorEastAsia" w:hAnsi="Times New Roman"/>
                <w:color w:val="000000"/>
                <w:sz w:val="24"/>
                <w:szCs w:val="24"/>
                <w:lang w:eastAsia="en-US"/>
              </w:rPr>
            </w:pPr>
            <w:r w:rsidRPr="006B5E0E">
              <w:rPr>
                <w:rFonts w:ascii="Times New Roman" w:eastAsiaTheme="minorEastAsia" w:hAnsi="Times New Roman"/>
                <w:color w:val="000000"/>
                <w:sz w:val="24"/>
                <w:szCs w:val="24"/>
                <w:lang w:eastAsia="en-US"/>
              </w:rPr>
              <w:t>Between Groups</w:t>
            </w:r>
          </w:p>
        </w:tc>
        <w:tc>
          <w:tcPr>
            <w:tcW w:w="1562" w:type="dxa"/>
            <w:tcBorders>
              <w:top w:val="single" w:sz="16" w:space="0" w:color="000000"/>
              <w:left w:val="single" w:sz="16" w:space="0" w:color="000000"/>
              <w:bottom w:val="nil"/>
            </w:tcBorders>
            <w:shd w:val="clear" w:color="auto" w:fill="FFFFFF"/>
          </w:tcPr>
          <w:p w:rsidR="00887DE5" w:rsidRPr="006B5E0E" w:rsidRDefault="00887DE5" w:rsidP="006B5E0E">
            <w:pPr>
              <w:widowControl w:val="0"/>
              <w:autoSpaceDE w:val="0"/>
              <w:autoSpaceDN w:val="0"/>
              <w:adjustRightInd w:val="0"/>
              <w:spacing w:after="0" w:line="480" w:lineRule="auto"/>
              <w:ind w:left="60" w:right="60"/>
              <w:jc w:val="right"/>
              <w:rPr>
                <w:rFonts w:ascii="Times New Roman" w:eastAsiaTheme="minorEastAsia" w:hAnsi="Times New Roman"/>
                <w:color w:val="000000"/>
                <w:sz w:val="24"/>
                <w:szCs w:val="24"/>
                <w:lang w:eastAsia="en-US"/>
              </w:rPr>
            </w:pPr>
            <w:r w:rsidRPr="006B5E0E">
              <w:rPr>
                <w:rFonts w:ascii="Times New Roman" w:eastAsiaTheme="minorEastAsia" w:hAnsi="Times New Roman"/>
                <w:color w:val="000000"/>
                <w:sz w:val="24"/>
                <w:szCs w:val="24"/>
                <w:lang w:eastAsia="en-US"/>
              </w:rPr>
              <w:t>29.936</w:t>
            </w:r>
          </w:p>
        </w:tc>
        <w:tc>
          <w:tcPr>
            <w:tcW w:w="1073" w:type="dxa"/>
            <w:tcBorders>
              <w:top w:val="single" w:sz="16" w:space="0" w:color="000000"/>
              <w:bottom w:val="nil"/>
            </w:tcBorders>
            <w:shd w:val="clear" w:color="auto" w:fill="FFFFFF"/>
          </w:tcPr>
          <w:p w:rsidR="00887DE5" w:rsidRPr="006B5E0E" w:rsidRDefault="00887DE5" w:rsidP="006B5E0E">
            <w:pPr>
              <w:widowControl w:val="0"/>
              <w:autoSpaceDE w:val="0"/>
              <w:autoSpaceDN w:val="0"/>
              <w:adjustRightInd w:val="0"/>
              <w:spacing w:after="0" w:line="480" w:lineRule="auto"/>
              <w:ind w:left="60" w:right="60"/>
              <w:jc w:val="right"/>
              <w:rPr>
                <w:rFonts w:ascii="Times New Roman" w:eastAsiaTheme="minorEastAsia" w:hAnsi="Times New Roman"/>
                <w:color w:val="000000"/>
                <w:sz w:val="24"/>
                <w:szCs w:val="24"/>
                <w:lang w:eastAsia="en-US"/>
              </w:rPr>
            </w:pPr>
            <w:r w:rsidRPr="006B5E0E">
              <w:rPr>
                <w:rFonts w:ascii="Times New Roman" w:eastAsiaTheme="minorEastAsia" w:hAnsi="Times New Roman"/>
                <w:color w:val="000000"/>
                <w:sz w:val="24"/>
                <w:szCs w:val="24"/>
                <w:lang w:eastAsia="en-US"/>
              </w:rPr>
              <w:t>3</w:t>
            </w:r>
          </w:p>
        </w:tc>
        <w:tc>
          <w:tcPr>
            <w:tcW w:w="1581" w:type="dxa"/>
            <w:tcBorders>
              <w:top w:val="single" w:sz="16" w:space="0" w:color="000000"/>
              <w:bottom w:val="nil"/>
            </w:tcBorders>
            <w:shd w:val="clear" w:color="auto" w:fill="FFFFFF"/>
          </w:tcPr>
          <w:p w:rsidR="00887DE5" w:rsidRPr="006B5E0E" w:rsidRDefault="00887DE5" w:rsidP="006B5E0E">
            <w:pPr>
              <w:widowControl w:val="0"/>
              <w:autoSpaceDE w:val="0"/>
              <w:autoSpaceDN w:val="0"/>
              <w:adjustRightInd w:val="0"/>
              <w:spacing w:after="0" w:line="480" w:lineRule="auto"/>
              <w:ind w:left="60" w:right="60"/>
              <w:jc w:val="right"/>
              <w:rPr>
                <w:rFonts w:ascii="Times New Roman" w:eastAsiaTheme="minorEastAsia" w:hAnsi="Times New Roman"/>
                <w:color w:val="000000"/>
                <w:sz w:val="24"/>
                <w:szCs w:val="24"/>
                <w:lang w:eastAsia="en-US"/>
              </w:rPr>
            </w:pPr>
            <w:r w:rsidRPr="006B5E0E">
              <w:rPr>
                <w:rFonts w:ascii="Times New Roman" w:eastAsiaTheme="minorEastAsia" w:hAnsi="Times New Roman"/>
                <w:color w:val="000000"/>
                <w:sz w:val="24"/>
                <w:szCs w:val="24"/>
                <w:lang w:eastAsia="en-US"/>
              </w:rPr>
              <w:t>9.979</w:t>
            </w:r>
          </w:p>
        </w:tc>
        <w:tc>
          <w:tcPr>
            <w:tcW w:w="771" w:type="dxa"/>
            <w:tcBorders>
              <w:top w:val="single" w:sz="16" w:space="0" w:color="000000"/>
              <w:bottom w:val="nil"/>
            </w:tcBorders>
            <w:shd w:val="clear" w:color="auto" w:fill="FFFFFF"/>
          </w:tcPr>
          <w:p w:rsidR="00887DE5" w:rsidRPr="006B5E0E" w:rsidRDefault="00887DE5" w:rsidP="006B5E0E">
            <w:pPr>
              <w:widowControl w:val="0"/>
              <w:autoSpaceDE w:val="0"/>
              <w:autoSpaceDN w:val="0"/>
              <w:adjustRightInd w:val="0"/>
              <w:spacing w:after="0" w:line="480" w:lineRule="auto"/>
              <w:ind w:left="60" w:right="60"/>
              <w:jc w:val="right"/>
              <w:rPr>
                <w:rFonts w:ascii="Times New Roman" w:eastAsiaTheme="minorEastAsia" w:hAnsi="Times New Roman"/>
                <w:color w:val="000000"/>
                <w:sz w:val="24"/>
                <w:szCs w:val="24"/>
                <w:lang w:eastAsia="en-US"/>
              </w:rPr>
            </w:pPr>
            <w:r w:rsidRPr="006B5E0E">
              <w:rPr>
                <w:rFonts w:ascii="Times New Roman" w:eastAsiaTheme="minorEastAsia" w:hAnsi="Times New Roman"/>
                <w:color w:val="000000"/>
                <w:sz w:val="24"/>
                <w:szCs w:val="24"/>
                <w:lang w:eastAsia="en-US"/>
              </w:rPr>
              <w:t>4.061</w:t>
            </w:r>
          </w:p>
        </w:tc>
        <w:tc>
          <w:tcPr>
            <w:tcW w:w="941" w:type="dxa"/>
            <w:tcBorders>
              <w:top w:val="single" w:sz="16" w:space="0" w:color="000000"/>
              <w:bottom w:val="nil"/>
              <w:right w:val="single" w:sz="16" w:space="0" w:color="000000"/>
            </w:tcBorders>
            <w:shd w:val="clear" w:color="auto" w:fill="FFFFFF"/>
          </w:tcPr>
          <w:p w:rsidR="00887DE5" w:rsidRPr="006B5E0E" w:rsidRDefault="00887DE5" w:rsidP="006B5E0E">
            <w:pPr>
              <w:widowControl w:val="0"/>
              <w:autoSpaceDE w:val="0"/>
              <w:autoSpaceDN w:val="0"/>
              <w:adjustRightInd w:val="0"/>
              <w:spacing w:after="0" w:line="480" w:lineRule="auto"/>
              <w:ind w:left="60" w:right="60"/>
              <w:jc w:val="right"/>
              <w:rPr>
                <w:rFonts w:ascii="Times New Roman" w:eastAsiaTheme="minorEastAsia" w:hAnsi="Times New Roman"/>
                <w:color w:val="000000"/>
                <w:sz w:val="24"/>
                <w:szCs w:val="24"/>
                <w:lang w:eastAsia="en-US"/>
              </w:rPr>
            </w:pPr>
            <w:r w:rsidRPr="006B5E0E">
              <w:rPr>
                <w:rFonts w:ascii="Times New Roman" w:eastAsiaTheme="minorEastAsia" w:hAnsi="Times New Roman"/>
                <w:color w:val="000000"/>
                <w:sz w:val="24"/>
                <w:szCs w:val="24"/>
                <w:lang w:eastAsia="en-US"/>
              </w:rPr>
              <w:t>.008</w:t>
            </w:r>
          </w:p>
        </w:tc>
      </w:tr>
      <w:tr w:rsidR="00887DE5" w:rsidRPr="006B5E0E" w:rsidTr="00773316">
        <w:trPr>
          <w:cantSplit/>
        </w:trPr>
        <w:tc>
          <w:tcPr>
            <w:tcW w:w="3014" w:type="dxa"/>
            <w:vMerge/>
            <w:tcBorders>
              <w:top w:val="single" w:sz="16" w:space="0" w:color="000000"/>
              <w:left w:val="single" w:sz="16" w:space="0" w:color="000000"/>
              <w:bottom w:val="nil"/>
              <w:right w:val="nil"/>
            </w:tcBorders>
            <w:shd w:val="clear" w:color="auto" w:fill="FFFFFF"/>
            <w:vAlign w:val="center"/>
          </w:tcPr>
          <w:p w:rsidR="00887DE5" w:rsidRPr="006B5E0E" w:rsidRDefault="00887DE5" w:rsidP="006B5E0E">
            <w:pPr>
              <w:widowControl w:val="0"/>
              <w:autoSpaceDE w:val="0"/>
              <w:autoSpaceDN w:val="0"/>
              <w:adjustRightInd w:val="0"/>
              <w:spacing w:after="0" w:line="480" w:lineRule="auto"/>
              <w:rPr>
                <w:rFonts w:ascii="Times New Roman" w:eastAsiaTheme="minorEastAsia" w:hAnsi="Times New Roman"/>
                <w:color w:val="000000"/>
                <w:sz w:val="24"/>
                <w:szCs w:val="24"/>
                <w:lang w:eastAsia="en-US"/>
              </w:rPr>
            </w:pPr>
          </w:p>
        </w:tc>
        <w:tc>
          <w:tcPr>
            <w:tcW w:w="1337" w:type="dxa"/>
            <w:tcBorders>
              <w:top w:val="nil"/>
              <w:left w:val="nil"/>
              <w:bottom w:val="nil"/>
              <w:right w:val="single" w:sz="16" w:space="0" w:color="000000"/>
            </w:tcBorders>
            <w:shd w:val="clear" w:color="auto" w:fill="FFFFFF"/>
            <w:vAlign w:val="center"/>
          </w:tcPr>
          <w:p w:rsidR="00887DE5" w:rsidRPr="006B5E0E" w:rsidRDefault="00887DE5" w:rsidP="006B5E0E">
            <w:pPr>
              <w:widowControl w:val="0"/>
              <w:autoSpaceDE w:val="0"/>
              <w:autoSpaceDN w:val="0"/>
              <w:adjustRightInd w:val="0"/>
              <w:spacing w:after="0" w:line="480" w:lineRule="auto"/>
              <w:ind w:left="60" w:right="60"/>
              <w:rPr>
                <w:rFonts w:ascii="Times New Roman" w:eastAsiaTheme="minorEastAsia" w:hAnsi="Times New Roman"/>
                <w:color w:val="000000"/>
                <w:sz w:val="24"/>
                <w:szCs w:val="24"/>
                <w:lang w:eastAsia="en-US"/>
              </w:rPr>
            </w:pPr>
            <w:r w:rsidRPr="006B5E0E">
              <w:rPr>
                <w:rFonts w:ascii="Times New Roman" w:eastAsiaTheme="minorEastAsia" w:hAnsi="Times New Roman"/>
                <w:color w:val="000000"/>
                <w:sz w:val="24"/>
                <w:szCs w:val="24"/>
                <w:lang w:eastAsia="en-US"/>
              </w:rPr>
              <w:t>Within Groups</w:t>
            </w:r>
          </w:p>
        </w:tc>
        <w:tc>
          <w:tcPr>
            <w:tcW w:w="1562" w:type="dxa"/>
            <w:tcBorders>
              <w:top w:val="nil"/>
              <w:left w:val="single" w:sz="16" w:space="0" w:color="000000"/>
              <w:bottom w:val="nil"/>
            </w:tcBorders>
            <w:shd w:val="clear" w:color="auto" w:fill="FFFFFF"/>
          </w:tcPr>
          <w:p w:rsidR="00887DE5" w:rsidRPr="006B5E0E" w:rsidRDefault="00887DE5" w:rsidP="006B5E0E">
            <w:pPr>
              <w:widowControl w:val="0"/>
              <w:autoSpaceDE w:val="0"/>
              <w:autoSpaceDN w:val="0"/>
              <w:adjustRightInd w:val="0"/>
              <w:spacing w:after="0" w:line="480" w:lineRule="auto"/>
              <w:ind w:left="60" w:right="60"/>
              <w:jc w:val="right"/>
              <w:rPr>
                <w:rFonts w:ascii="Times New Roman" w:eastAsiaTheme="minorEastAsia" w:hAnsi="Times New Roman"/>
                <w:color w:val="000000"/>
                <w:sz w:val="24"/>
                <w:szCs w:val="24"/>
                <w:lang w:eastAsia="en-US"/>
              </w:rPr>
            </w:pPr>
            <w:r w:rsidRPr="006B5E0E">
              <w:rPr>
                <w:rFonts w:ascii="Times New Roman" w:eastAsiaTheme="minorEastAsia" w:hAnsi="Times New Roman"/>
                <w:color w:val="000000"/>
                <w:sz w:val="24"/>
                <w:szCs w:val="24"/>
                <w:lang w:eastAsia="en-US"/>
              </w:rPr>
              <w:t>491.490</w:t>
            </w:r>
          </w:p>
        </w:tc>
        <w:tc>
          <w:tcPr>
            <w:tcW w:w="1073" w:type="dxa"/>
            <w:tcBorders>
              <w:top w:val="nil"/>
              <w:bottom w:val="nil"/>
            </w:tcBorders>
            <w:shd w:val="clear" w:color="auto" w:fill="FFFFFF"/>
          </w:tcPr>
          <w:p w:rsidR="00887DE5" w:rsidRPr="006B5E0E" w:rsidRDefault="00887DE5" w:rsidP="006B5E0E">
            <w:pPr>
              <w:widowControl w:val="0"/>
              <w:autoSpaceDE w:val="0"/>
              <w:autoSpaceDN w:val="0"/>
              <w:adjustRightInd w:val="0"/>
              <w:spacing w:after="0" w:line="480" w:lineRule="auto"/>
              <w:ind w:left="60" w:right="60"/>
              <w:jc w:val="right"/>
              <w:rPr>
                <w:rFonts w:ascii="Times New Roman" w:eastAsiaTheme="minorEastAsia" w:hAnsi="Times New Roman"/>
                <w:color w:val="000000"/>
                <w:sz w:val="24"/>
                <w:szCs w:val="24"/>
                <w:lang w:eastAsia="en-US"/>
              </w:rPr>
            </w:pPr>
            <w:r w:rsidRPr="006B5E0E">
              <w:rPr>
                <w:rFonts w:ascii="Times New Roman" w:eastAsiaTheme="minorEastAsia" w:hAnsi="Times New Roman"/>
                <w:color w:val="000000"/>
                <w:sz w:val="24"/>
                <w:szCs w:val="24"/>
                <w:lang w:eastAsia="en-US"/>
              </w:rPr>
              <w:t>200</w:t>
            </w:r>
          </w:p>
        </w:tc>
        <w:tc>
          <w:tcPr>
            <w:tcW w:w="1581" w:type="dxa"/>
            <w:tcBorders>
              <w:top w:val="nil"/>
              <w:bottom w:val="nil"/>
            </w:tcBorders>
            <w:shd w:val="clear" w:color="auto" w:fill="FFFFFF"/>
          </w:tcPr>
          <w:p w:rsidR="00887DE5" w:rsidRPr="006B5E0E" w:rsidRDefault="00887DE5" w:rsidP="006B5E0E">
            <w:pPr>
              <w:widowControl w:val="0"/>
              <w:autoSpaceDE w:val="0"/>
              <w:autoSpaceDN w:val="0"/>
              <w:adjustRightInd w:val="0"/>
              <w:spacing w:after="0" w:line="480" w:lineRule="auto"/>
              <w:ind w:left="60" w:right="60"/>
              <w:jc w:val="right"/>
              <w:rPr>
                <w:rFonts w:ascii="Times New Roman" w:eastAsiaTheme="minorEastAsia" w:hAnsi="Times New Roman"/>
                <w:color w:val="000000"/>
                <w:sz w:val="24"/>
                <w:szCs w:val="24"/>
                <w:lang w:eastAsia="en-US"/>
              </w:rPr>
            </w:pPr>
            <w:r w:rsidRPr="006B5E0E">
              <w:rPr>
                <w:rFonts w:ascii="Times New Roman" w:eastAsiaTheme="minorEastAsia" w:hAnsi="Times New Roman"/>
                <w:color w:val="000000"/>
                <w:sz w:val="24"/>
                <w:szCs w:val="24"/>
                <w:lang w:eastAsia="en-US"/>
              </w:rPr>
              <w:t>2.457</w:t>
            </w:r>
          </w:p>
        </w:tc>
        <w:tc>
          <w:tcPr>
            <w:tcW w:w="771" w:type="dxa"/>
            <w:tcBorders>
              <w:top w:val="nil"/>
              <w:bottom w:val="nil"/>
            </w:tcBorders>
            <w:shd w:val="clear" w:color="auto" w:fill="FFFFFF"/>
          </w:tcPr>
          <w:p w:rsidR="00887DE5" w:rsidRPr="006B5E0E" w:rsidRDefault="00887DE5" w:rsidP="006B5E0E">
            <w:pPr>
              <w:widowControl w:val="0"/>
              <w:autoSpaceDE w:val="0"/>
              <w:autoSpaceDN w:val="0"/>
              <w:adjustRightInd w:val="0"/>
              <w:spacing w:after="0" w:line="480" w:lineRule="auto"/>
              <w:rPr>
                <w:rFonts w:ascii="Times New Roman" w:eastAsiaTheme="minorEastAsia" w:hAnsi="Times New Roman"/>
                <w:sz w:val="24"/>
                <w:szCs w:val="24"/>
                <w:lang w:eastAsia="en-US"/>
              </w:rPr>
            </w:pPr>
          </w:p>
        </w:tc>
        <w:tc>
          <w:tcPr>
            <w:tcW w:w="941" w:type="dxa"/>
            <w:tcBorders>
              <w:top w:val="nil"/>
              <w:bottom w:val="nil"/>
              <w:right w:val="single" w:sz="16" w:space="0" w:color="000000"/>
            </w:tcBorders>
            <w:shd w:val="clear" w:color="auto" w:fill="FFFFFF"/>
          </w:tcPr>
          <w:p w:rsidR="00887DE5" w:rsidRPr="006B5E0E" w:rsidRDefault="00887DE5" w:rsidP="006B5E0E">
            <w:pPr>
              <w:widowControl w:val="0"/>
              <w:autoSpaceDE w:val="0"/>
              <w:autoSpaceDN w:val="0"/>
              <w:adjustRightInd w:val="0"/>
              <w:spacing w:after="0" w:line="480" w:lineRule="auto"/>
              <w:rPr>
                <w:rFonts w:ascii="Times New Roman" w:eastAsiaTheme="minorEastAsia" w:hAnsi="Times New Roman"/>
                <w:sz w:val="24"/>
                <w:szCs w:val="24"/>
                <w:lang w:eastAsia="en-US"/>
              </w:rPr>
            </w:pPr>
          </w:p>
        </w:tc>
      </w:tr>
      <w:tr w:rsidR="00887DE5" w:rsidRPr="006B5E0E" w:rsidTr="00773316">
        <w:trPr>
          <w:cantSplit/>
        </w:trPr>
        <w:tc>
          <w:tcPr>
            <w:tcW w:w="3014" w:type="dxa"/>
            <w:vMerge/>
            <w:tcBorders>
              <w:top w:val="single" w:sz="16" w:space="0" w:color="000000"/>
              <w:left w:val="single" w:sz="16" w:space="0" w:color="000000"/>
              <w:bottom w:val="nil"/>
              <w:right w:val="nil"/>
            </w:tcBorders>
            <w:shd w:val="clear" w:color="auto" w:fill="FFFFFF"/>
            <w:vAlign w:val="center"/>
          </w:tcPr>
          <w:p w:rsidR="00887DE5" w:rsidRPr="006B5E0E" w:rsidRDefault="00887DE5" w:rsidP="006B5E0E">
            <w:pPr>
              <w:widowControl w:val="0"/>
              <w:autoSpaceDE w:val="0"/>
              <w:autoSpaceDN w:val="0"/>
              <w:adjustRightInd w:val="0"/>
              <w:spacing w:after="0" w:line="480" w:lineRule="auto"/>
              <w:rPr>
                <w:rFonts w:ascii="Times New Roman" w:eastAsiaTheme="minorEastAsia" w:hAnsi="Times New Roman"/>
                <w:sz w:val="24"/>
                <w:szCs w:val="24"/>
                <w:lang w:eastAsia="en-US"/>
              </w:rPr>
            </w:pPr>
          </w:p>
        </w:tc>
        <w:tc>
          <w:tcPr>
            <w:tcW w:w="1337" w:type="dxa"/>
            <w:tcBorders>
              <w:top w:val="nil"/>
              <w:left w:val="nil"/>
              <w:bottom w:val="nil"/>
              <w:right w:val="single" w:sz="16" w:space="0" w:color="000000"/>
            </w:tcBorders>
            <w:shd w:val="clear" w:color="auto" w:fill="FFFFFF"/>
            <w:vAlign w:val="center"/>
          </w:tcPr>
          <w:p w:rsidR="00887DE5" w:rsidRPr="006B5E0E" w:rsidRDefault="00887DE5" w:rsidP="006B5E0E">
            <w:pPr>
              <w:widowControl w:val="0"/>
              <w:autoSpaceDE w:val="0"/>
              <w:autoSpaceDN w:val="0"/>
              <w:adjustRightInd w:val="0"/>
              <w:spacing w:after="0" w:line="480" w:lineRule="auto"/>
              <w:ind w:left="60" w:right="60"/>
              <w:rPr>
                <w:rFonts w:ascii="Times New Roman" w:eastAsiaTheme="minorEastAsia" w:hAnsi="Times New Roman"/>
                <w:color w:val="000000"/>
                <w:sz w:val="24"/>
                <w:szCs w:val="24"/>
                <w:lang w:eastAsia="en-US"/>
              </w:rPr>
            </w:pPr>
            <w:r w:rsidRPr="006B5E0E">
              <w:rPr>
                <w:rFonts w:ascii="Times New Roman" w:eastAsiaTheme="minorEastAsia" w:hAnsi="Times New Roman"/>
                <w:color w:val="000000"/>
                <w:sz w:val="24"/>
                <w:szCs w:val="24"/>
                <w:lang w:eastAsia="en-US"/>
              </w:rPr>
              <w:t>Total</w:t>
            </w:r>
          </w:p>
        </w:tc>
        <w:tc>
          <w:tcPr>
            <w:tcW w:w="1562" w:type="dxa"/>
            <w:tcBorders>
              <w:top w:val="nil"/>
              <w:left w:val="single" w:sz="16" w:space="0" w:color="000000"/>
              <w:bottom w:val="nil"/>
            </w:tcBorders>
            <w:shd w:val="clear" w:color="auto" w:fill="FFFFFF"/>
          </w:tcPr>
          <w:p w:rsidR="00887DE5" w:rsidRPr="006B5E0E" w:rsidRDefault="00887DE5" w:rsidP="006B5E0E">
            <w:pPr>
              <w:widowControl w:val="0"/>
              <w:autoSpaceDE w:val="0"/>
              <w:autoSpaceDN w:val="0"/>
              <w:adjustRightInd w:val="0"/>
              <w:spacing w:after="0" w:line="480" w:lineRule="auto"/>
              <w:ind w:left="60" w:right="60"/>
              <w:jc w:val="right"/>
              <w:rPr>
                <w:rFonts w:ascii="Times New Roman" w:eastAsiaTheme="minorEastAsia" w:hAnsi="Times New Roman"/>
                <w:color w:val="000000"/>
                <w:sz w:val="24"/>
                <w:szCs w:val="24"/>
                <w:lang w:eastAsia="en-US"/>
              </w:rPr>
            </w:pPr>
            <w:r w:rsidRPr="006B5E0E">
              <w:rPr>
                <w:rFonts w:ascii="Times New Roman" w:eastAsiaTheme="minorEastAsia" w:hAnsi="Times New Roman"/>
                <w:color w:val="000000"/>
                <w:sz w:val="24"/>
                <w:szCs w:val="24"/>
                <w:lang w:eastAsia="en-US"/>
              </w:rPr>
              <w:t>521.426</w:t>
            </w:r>
          </w:p>
        </w:tc>
        <w:tc>
          <w:tcPr>
            <w:tcW w:w="1073" w:type="dxa"/>
            <w:tcBorders>
              <w:top w:val="nil"/>
              <w:bottom w:val="nil"/>
            </w:tcBorders>
            <w:shd w:val="clear" w:color="auto" w:fill="FFFFFF"/>
          </w:tcPr>
          <w:p w:rsidR="00887DE5" w:rsidRPr="006B5E0E" w:rsidRDefault="00887DE5" w:rsidP="006B5E0E">
            <w:pPr>
              <w:widowControl w:val="0"/>
              <w:autoSpaceDE w:val="0"/>
              <w:autoSpaceDN w:val="0"/>
              <w:adjustRightInd w:val="0"/>
              <w:spacing w:after="0" w:line="480" w:lineRule="auto"/>
              <w:ind w:left="60" w:right="60"/>
              <w:jc w:val="right"/>
              <w:rPr>
                <w:rFonts w:ascii="Times New Roman" w:eastAsiaTheme="minorEastAsia" w:hAnsi="Times New Roman"/>
                <w:color w:val="000000"/>
                <w:sz w:val="24"/>
                <w:szCs w:val="24"/>
                <w:lang w:eastAsia="en-US"/>
              </w:rPr>
            </w:pPr>
            <w:r w:rsidRPr="006B5E0E">
              <w:rPr>
                <w:rFonts w:ascii="Times New Roman" w:eastAsiaTheme="minorEastAsia" w:hAnsi="Times New Roman"/>
                <w:color w:val="000000"/>
                <w:sz w:val="24"/>
                <w:szCs w:val="24"/>
                <w:lang w:eastAsia="en-US"/>
              </w:rPr>
              <w:t>203</w:t>
            </w:r>
          </w:p>
        </w:tc>
        <w:tc>
          <w:tcPr>
            <w:tcW w:w="1581" w:type="dxa"/>
            <w:tcBorders>
              <w:top w:val="nil"/>
              <w:bottom w:val="nil"/>
            </w:tcBorders>
            <w:shd w:val="clear" w:color="auto" w:fill="FFFFFF"/>
          </w:tcPr>
          <w:p w:rsidR="00887DE5" w:rsidRPr="006B5E0E" w:rsidRDefault="00887DE5" w:rsidP="006B5E0E">
            <w:pPr>
              <w:widowControl w:val="0"/>
              <w:autoSpaceDE w:val="0"/>
              <w:autoSpaceDN w:val="0"/>
              <w:adjustRightInd w:val="0"/>
              <w:spacing w:after="0" w:line="480" w:lineRule="auto"/>
              <w:rPr>
                <w:rFonts w:ascii="Times New Roman" w:eastAsiaTheme="minorEastAsia" w:hAnsi="Times New Roman"/>
                <w:sz w:val="24"/>
                <w:szCs w:val="24"/>
                <w:lang w:eastAsia="en-US"/>
              </w:rPr>
            </w:pPr>
          </w:p>
        </w:tc>
        <w:tc>
          <w:tcPr>
            <w:tcW w:w="771" w:type="dxa"/>
            <w:tcBorders>
              <w:top w:val="nil"/>
              <w:bottom w:val="nil"/>
            </w:tcBorders>
            <w:shd w:val="clear" w:color="auto" w:fill="FFFFFF"/>
          </w:tcPr>
          <w:p w:rsidR="00887DE5" w:rsidRPr="006B5E0E" w:rsidRDefault="00887DE5" w:rsidP="006B5E0E">
            <w:pPr>
              <w:widowControl w:val="0"/>
              <w:autoSpaceDE w:val="0"/>
              <w:autoSpaceDN w:val="0"/>
              <w:adjustRightInd w:val="0"/>
              <w:spacing w:after="0" w:line="480" w:lineRule="auto"/>
              <w:rPr>
                <w:rFonts w:ascii="Times New Roman" w:eastAsiaTheme="minorEastAsia" w:hAnsi="Times New Roman"/>
                <w:sz w:val="24"/>
                <w:szCs w:val="24"/>
                <w:lang w:eastAsia="en-US"/>
              </w:rPr>
            </w:pPr>
          </w:p>
        </w:tc>
        <w:tc>
          <w:tcPr>
            <w:tcW w:w="941" w:type="dxa"/>
            <w:tcBorders>
              <w:top w:val="nil"/>
              <w:bottom w:val="nil"/>
              <w:right w:val="single" w:sz="16" w:space="0" w:color="000000"/>
            </w:tcBorders>
            <w:shd w:val="clear" w:color="auto" w:fill="FFFFFF"/>
          </w:tcPr>
          <w:p w:rsidR="00887DE5" w:rsidRPr="006B5E0E" w:rsidRDefault="00887DE5" w:rsidP="006B5E0E">
            <w:pPr>
              <w:widowControl w:val="0"/>
              <w:autoSpaceDE w:val="0"/>
              <w:autoSpaceDN w:val="0"/>
              <w:adjustRightInd w:val="0"/>
              <w:spacing w:after="0" w:line="480" w:lineRule="auto"/>
              <w:rPr>
                <w:rFonts w:ascii="Times New Roman" w:eastAsiaTheme="minorEastAsia" w:hAnsi="Times New Roman"/>
                <w:sz w:val="24"/>
                <w:szCs w:val="24"/>
                <w:lang w:eastAsia="en-US"/>
              </w:rPr>
            </w:pPr>
          </w:p>
        </w:tc>
      </w:tr>
      <w:tr w:rsidR="00887DE5" w:rsidRPr="006B5E0E" w:rsidTr="00773316">
        <w:trPr>
          <w:cantSplit/>
        </w:trPr>
        <w:tc>
          <w:tcPr>
            <w:tcW w:w="3014" w:type="dxa"/>
            <w:vMerge w:val="restart"/>
            <w:tcBorders>
              <w:top w:val="nil"/>
              <w:left w:val="single" w:sz="16" w:space="0" w:color="000000"/>
              <w:bottom w:val="nil"/>
              <w:right w:val="nil"/>
            </w:tcBorders>
            <w:shd w:val="clear" w:color="auto" w:fill="FFFFFF"/>
            <w:vAlign w:val="center"/>
          </w:tcPr>
          <w:p w:rsidR="00887DE5" w:rsidRPr="006B5E0E" w:rsidRDefault="00887DE5" w:rsidP="006B5E0E">
            <w:pPr>
              <w:widowControl w:val="0"/>
              <w:autoSpaceDE w:val="0"/>
              <w:autoSpaceDN w:val="0"/>
              <w:adjustRightInd w:val="0"/>
              <w:spacing w:after="0" w:line="480" w:lineRule="auto"/>
              <w:ind w:left="60" w:right="60"/>
              <w:rPr>
                <w:rFonts w:ascii="Times New Roman" w:eastAsiaTheme="minorEastAsia" w:hAnsi="Times New Roman"/>
                <w:color w:val="000000"/>
                <w:sz w:val="24"/>
                <w:szCs w:val="24"/>
                <w:lang w:eastAsia="en-US"/>
              </w:rPr>
            </w:pPr>
            <w:r w:rsidRPr="006B5E0E">
              <w:rPr>
                <w:rFonts w:ascii="Times New Roman" w:eastAsiaTheme="minorEastAsia" w:hAnsi="Times New Roman"/>
                <w:color w:val="000000"/>
                <w:sz w:val="24"/>
                <w:szCs w:val="24"/>
                <w:lang w:eastAsia="en-US"/>
              </w:rPr>
              <w:t>Legacy Relationship (Intergenerational Vs Social)</w:t>
            </w:r>
          </w:p>
        </w:tc>
        <w:tc>
          <w:tcPr>
            <w:tcW w:w="1337" w:type="dxa"/>
            <w:tcBorders>
              <w:top w:val="nil"/>
              <w:left w:val="nil"/>
              <w:bottom w:val="nil"/>
              <w:right w:val="single" w:sz="16" w:space="0" w:color="000000"/>
            </w:tcBorders>
            <w:shd w:val="clear" w:color="auto" w:fill="FFFFFF"/>
            <w:vAlign w:val="center"/>
          </w:tcPr>
          <w:p w:rsidR="00887DE5" w:rsidRPr="006B5E0E" w:rsidRDefault="00887DE5" w:rsidP="006B5E0E">
            <w:pPr>
              <w:widowControl w:val="0"/>
              <w:autoSpaceDE w:val="0"/>
              <w:autoSpaceDN w:val="0"/>
              <w:adjustRightInd w:val="0"/>
              <w:spacing w:after="0" w:line="480" w:lineRule="auto"/>
              <w:ind w:left="60" w:right="60"/>
              <w:rPr>
                <w:rFonts w:ascii="Times New Roman" w:eastAsiaTheme="minorEastAsia" w:hAnsi="Times New Roman"/>
                <w:color w:val="000000"/>
                <w:sz w:val="24"/>
                <w:szCs w:val="24"/>
                <w:lang w:eastAsia="en-US"/>
              </w:rPr>
            </w:pPr>
            <w:r w:rsidRPr="006B5E0E">
              <w:rPr>
                <w:rFonts w:ascii="Times New Roman" w:eastAsiaTheme="minorEastAsia" w:hAnsi="Times New Roman"/>
                <w:color w:val="000000"/>
                <w:sz w:val="24"/>
                <w:szCs w:val="24"/>
                <w:lang w:eastAsia="en-US"/>
              </w:rPr>
              <w:t>Between Groups</w:t>
            </w:r>
          </w:p>
        </w:tc>
        <w:tc>
          <w:tcPr>
            <w:tcW w:w="1562" w:type="dxa"/>
            <w:tcBorders>
              <w:top w:val="nil"/>
              <w:left w:val="single" w:sz="16" w:space="0" w:color="000000"/>
              <w:bottom w:val="nil"/>
            </w:tcBorders>
            <w:shd w:val="clear" w:color="auto" w:fill="FFFFFF"/>
          </w:tcPr>
          <w:p w:rsidR="00887DE5" w:rsidRPr="006B5E0E" w:rsidRDefault="00887DE5" w:rsidP="006B5E0E">
            <w:pPr>
              <w:widowControl w:val="0"/>
              <w:autoSpaceDE w:val="0"/>
              <w:autoSpaceDN w:val="0"/>
              <w:adjustRightInd w:val="0"/>
              <w:spacing w:after="0" w:line="480" w:lineRule="auto"/>
              <w:ind w:left="60" w:right="60"/>
              <w:jc w:val="right"/>
              <w:rPr>
                <w:rFonts w:ascii="Times New Roman" w:eastAsiaTheme="minorEastAsia" w:hAnsi="Times New Roman"/>
                <w:color w:val="000000"/>
                <w:sz w:val="24"/>
                <w:szCs w:val="24"/>
                <w:lang w:eastAsia="en-US"/>
              </w:rPr>
            </w:pPr>
            <w:r w:rsidRPr="006B5E0E">
              <w:rPr>
                <w:rFonts w:ascii="Times New Roman" w:eastAsiaTheme="minorEastAsia" w:hAnsi="Times New Roman"/>
                <w:color w:val="000000"/>
                <w:sz w:val="24"/>
                <w:szCs w:val="24"/>
                <w:lang w:eastAsia="en-US"/>
              </w:rPr>
              <w:t>14.877</w:t>
            </w:r>
          </w:p>
        </w:tc>
        <w:tc>
          <w:tcPr>
            <w:tcW w:w="1073" w:type="dxa"/>
            <w:tcBorders>
              <w:top w:val="nil"/>
              <w:bottom w:val="nil"/>
            </w:tcBorders>
            <w:shd w:val="clear" w:color="auto" w:fill="FFFFFF"/>
          </w:tcPr>
          <w:p w:rsidR="00887DE5" w:rsidRPr="006B5E0E" w:rsidRDefault="00887DE5" w:rsidP="006B5E0E">
            <w:pPr>
              <w:widowControl w:val="0"/>
              <w:autoSpaceDE w:val="0"/>
              <w:autoSpaceDN w:val="0"/>
              <w:adjustRightInd w:val="0"/>
              <w:spacing w:after="0" w:line="480" w:lineRule="auto"/>
              <w:ind w:left="60" w:right="60"/>
              <w:jc w:val="right"/>
              <w:rPr>
                <w:rFonts w:ascii="Times New Roman" w:eastAsiaTheme="minorEastAsia" w:hAnsi="Times New Roman"/>
                <w:color w:val="000000"/>
                <w:sz w:val="24"/>
                <w:szCs w:val="24"/>
                <w:lang w:eastAsia="en-US"/>
              </w:rPr>
            </w:pPr>
            <w:r w:rsidRPr="006B5E0E">
              <w:rPr>
                <w:rFonts w:ascii="Times New Roman" w:eastAsiaTheme="minorEastAsia" w:hAnsi="Times New Roman"/>
                <w:color w:val="000000"/>
                <w:sz w:val="24"/>
                <w:szCs w:val="24"/>
                <w:lang w:eastAsia="en-US"/>
              </w:rPr>
              <w:t>3</w:t>
            </w:r>
          </w:p>
        </w:tc>
        <w:tc>
          <w:tcPr>
            <w:tcW w:w="1581" w:type="dxa"/>
            <w:tcBorders>
              <w:top w:val="nil"/>
              <w:bottom w:val="nil"/>
            </w:tcBorders>
            <w:shd w:val="clear" w:color="auto" w:fill="FFFFFF"/>
          </w:tcPr>
          <w:p w:rsidR="00887DE5" w:rsidRPr="006B5E0E" w:rsidRDefault="00887DE5" w:rsidP="006B5E0E">
            <w:pPr>
              <w:widowControl w:val="0"/>
              <w:autoSpaceDE w:val="0"/>
              <w:autoSpaceDN w:val="0"/>
              <w:adjustRightInd w:val="0"/>
              <w:spacing w:after="0" w:line="480" w:lineRule="auto"/>
              <w:ind w:left="60" w:right="60"/>
              <w:jc w:val="right"/>
              <w:rPr>
                <w:rFonts w:ascii="Times New Roman" w:eastAsiaTheme="minorEastAsia" w:hAnsi="Times New Roman"/>
                <w:color w:val="000000"/>
                <w:sz w:val="24"/>
                <w:szCs w:val="24"/>
                <w:lang w:eastAsia="en-US"/>
              </w:rPr>
            </w:pPr>
            <w:r w:rsidRPr="006B5E0E">
              <w:rPr>
                <w:rFonts w:ascii="Times New Roman" w:eastAsiaTheme="minorEastAsia" w:hAnsi="Times New Roman"/>
                <w:color w:val="000000"/>
                <w:sz w:val="24"/>
                <w:szCs w:val="24"/>
                <w:lang w:eastAsia="en-US"/>
              </w:rPr>
              <w:t>4.959</w:t>
            </w:r>
          </w:p>
        </w:tc>
        <w:tc>
          <w:tcPr>
            <w:tcW w:w="771" w:type="dxa"/>
            <w:tcBorders>
              <w:top w:val="nil"/>
              <w:bottom w:val="nil"/>
            </w:tcBorders>
            <w:shd w:val="clear" w:color="auto" w:fill="FFFFFF"/>
          </w:tcPr>
          <w:p w:rsidR="00887DE5" w:rsidRPr="006B5E0E" w:rsidRDefault="00887DE5" w:rsidP="006B5E0E">
            <w:pPr>
              <w:widowControl w:val="0"/>
              <w:autoSpaceDE w:val="0"/>
              <w:autoSpaceDN w:val="0"/>
              <w:adjustRightInd w:val="0"/>
              <w:spacing w:after="0" w:line="480" w:lineRule="auto"/>
              <w:ind w:left="60" w:right="60"/>
              <w:jc w:val="right"/>
              <w:rPr>
                <w:rFonts w:ascii="Times New Roman" w:eastAsiaTheme="minorEastAsia" w:hAnsi="Times New Roman"/>
                <w:color w:val="000000"/>
                <w:sz w:val="24"/>
                <w:szCs w:val="24"/>
                <w:lang w:eastAsia="en-US"/>
              </w:rPr>
            </w:pPr>
            <w:r w:rsidRPr="006B5E0E">
              <w:rPr>
                <w:rFonts w:ascii="Times New Roman" w:eastAsiaTheme="minorEastAsia" w:hAnsi="Times New Roman"/>
                <w:color w:val="000000"/>
                <w:sz w:val="24"/>
                <w:szCs w:val="24"/>
                <w:lang w:eastAsia="en-US"/>
              </w:rPr>
              <w:t>2.429</w:t>
            </w:r>
          </w:p>
        </w:tc>
        <w:tc>
          <w:tcPr>
            <w:tcW w:w="941" w:type="dxa"/>
            <w:tcBorders>
              <w:top w:val="nil"/>
              <w:bottom w:val="nil"/>
              <w:right w:val="single" w:sz="16" w:space="0" w:color="000000"/>
            </w:tcBorders>
            <w:shd w:val="clear" w:color="auto" w:fill="FFFFFF"/>
          </w:tcPr>
          <w:p w:rsidR="00887DE5" w:rsidRPr="006B5E0E" w:rsidRDefault="00887DE5" w:rsidP="006B5E0E">
            <w:pPr>
              <w:widowControl w:val="0"/>
              <w:autoSpaceDE w:val="0"/>
              <w:autoSpaceDN w:val="0"/>
              <w:adjustRightInd w:val="0"/>
              <w:spacing w:after="0" w:line="480" w:lineRule="auto"/>
              <w:ind w:left="60" w:right="60"/>
              <w:jc w:val="right"/>
              <w:rPr>
                <w:rFonts w:ascii="Times New Roman" w:eastAsiaTheme="minorEastAsia" w:hAnsi="Times New Roman"/>
                <w:color w:val="000000"/>
                <w:sz w:val="24"/>
                <w:szCs w:val="24"/>
                <w:lang w:eastAsia="en-US"/>
              </w:rPr>
            </w:pPr>
            <w:r w:rsidRPr="006B5E0E">
              <w:rPr>
                <w:rFonts w:ascii="Times New Roman" w:eastAsiaTheme="minorEastAsia" w:hAnsi="Times New Roman"/>
                <w:color w:val="000000"/>
                <w:sz w:val="24"/>
                <w:szCs w:val="24"/>
                <w:lang w:eastAsia="en-US"/>
              </w:rPr>
              <w:t>.067</w:t>
            </w:r>
          </w:p>
        </w:tc>
      </w:tr>
      <w:tr w:rsidR="00887DE5" w:rsidRPr="006B5E0E" w:rsidTr="00773316">
        <w:trPr>
          <w:cantSplit/>
        </w:trPr>
        <w:tc>
          <w:tcPr>
            <w:tcW w:w="3014" w:type="dxa"/>
            <w:vMerge/>
            <w:tcBorders>
              <w:top w:val="nil"/>
              <w:left w:val="single" w:sz="16" w:space="0" w:color="000000"/>
              <w:bottom w:val="nil"/>
              <w:right w:val="nil"/>
            </w:tcBorders>
            <w:shd w:val="clear" w:color="auto" w:fill="FFFFFF"/>
            <w:vAlign w:val="center"/>
          </w:tcPr>
          <w:p w:rsidR="00887DE5" w:rsidRPr="006B5E0E" w:rsidRDefault="00887DE5" w:rsidP="006B5E0E">
            <w:pPr>
              <w:widowControl w:val="0"/>
              <w:autoSpaceDE w:val="0"/>
              <w:autoSpaceDN w:val="0"/>
              <w:adjustRightInd w:val="0"/>
              <w:spacing w:after="0" w:line="480" w:lineRule="auto"/>
              <w:rPr>
                <w:rFonts w:ascii="Times New Roman" w:eastAsiaTheme="minorEastAsia" w:hAnsi="Times New Roman"/>
                <w:color w:val="000000"/>
                <w:sz w:val="24"/>
                <w:szCs w:val="24"/>
                <w:lang w:eastAsia="en-US"/>
              </w:rPr>
            </w:pPr>
          </w:p>
        </w:tc>
        <w:tc>
          <w:tcPr>
            <w:tcW w:w="1337" w:type="dxa"/>
            <w:tcBorders>
              <w:top w:val="nil"/>
              <w:left w:val="nil"/>
              <w:bottom w:val="nil"/>
              <w:right w:val="single" w:sz="16" w:space="0" w:color="000000"/>
            </w:tcBorders>
            <w:shd w:val="clear" w:color="auto" w:fill="FFFFFF"/>
            <w:vAlign w:val="center"/>
          </w:tcPr>
          <w:p w:rsidR="00887DE5" w:rsidRPr="006B5E0E" w:rsidRDefault="00887DE5" w:rsidP="006B5E0E">
            <w:pPr>
              <w:widowControl w:val="0"/>
              <w:autoSpaceDE w:val="0"/>
              <w:autoSpaceDN w:val="0"/>
              <w:adjustRightInd w:val="0"/>
              <w:spacing w:after="0" w:line="480" w:lineRule="auto"/>
              <w:ind w:left="60" w:right="60"/>
              <w:rPr>
                <w:rFonts w:ascii="Times New Roman" w:eastAsiaTheme="minorEastAsia" w:hAnsi="Times New Roman"/>
                <w:color w:val="000000"/>
                <w:sz w:val="24"/>
                <w:szCs w:val="24"/>
                <w:lang w:eastAsia="en-US"/>
              </w:rPr>
            </w:pPr>
            <w:r w:rsidRPr="006B5E0E">
              <w:rPr>
                <w:rFonts w:ascii="Times New Roman" w:eastAsiaTheme="minorEastAsia" w:hAnsi="Times New Roman"/>
                <w:color w:val="000000"/>
                <w:sz w:val="24"/>
                <w:szCs w:val="24"/>
                <w:lang w:eastAsia="en-US"/>
              </w:rPr>
              <w:t>Within Groups</w:t>
            </w:r>
          </w:p>
        </w:tc>
        <w:tc>
          <w:tcPr>
            <w:tcW w:w="1562" w:type="dxa"/>
            <w:tcBorders>
              <w:top w:val="nil"/>
              <w:left w:val="single" w:sz="16" w:space="0" w:color="000000"/>
              <w:bottom w:val="nil"/>
            </w:tcBorders>
            <w:shd w:val="clear" w:color="auto" w:fill="FFFFFF"/>
          </w:tcPr>
          <w:p w:rsidR="00887DE5" w:rsidRPr="006B5E0E" w:rsidRDefault="00887DE5" w:rsidP="006B5E0E">
            <w:pPr>
              <w:widowControl w:val="0"/>
              <w:autoSpaceDE w:val="0"/>
              <w:autoSpaceDN w:val="0"/>
              <w:adjustRightInd w:val="0"/>
              <w:spacing w:after="0" w:line="480" w:lineRule="auto"/>
              <w:ind w:left="60" w:right="60"/>
              <w:jc w:val="right"/>
              <w:rPr>
                <w:rFonts w:ascii="Times New Roman" w:eastAsiaTheme="minorEastAsia" w:hAnsi="Times New Roman"/>
                <w:color w:val="000000"/>
                <w:sz w:val="24"/>
                <w:szCs w:val="24"/>
                <w:lang w:eastAsia="en-US"/>
              </w:rPr>
            </w:pPr>
            <w:r w:rsidRPr="006B5E0E">
              <w:rPr>
                <w:rFonts w:ascii="Times New Roman" w:eastAsiaTheme="minorEastAsia" w:hAnsi="Times New Roman"/>
                <w:color w:val="000000"/>
                <w:sz w:val="24"/>
                <w:szCs w:val="24"/>
                <w:lang w:eastAsia="en-US"/>
              </w:rPr>
              <w:t>408.353</w:t>
            </w:r>
          </w:p>
        </w:tc>
        <w:tc>
          <w:tcPr>
            <w:tcW w:w="1073" w:type="dxa"/>
            <w:tcBorders>
              <w:top w:val="nil"/>
              <w:bottom w:val="nil"/>
            </w:tcBorders>
            <w:shd w:val="clear" w:color="auto" w:fill="FFFFFF"/>
          </w:tcPr>
          <w:p w:rsidR="00887DE5" w:rsidRPr="006B5E0E" w:rsidRDefault="00887DE5" w:rsidP="006B5E0E">
            <w:pPr>
              <w:widowControl w:val="0"/>
              <w:autoSpaceDE w:val="0"/>
              <w:autoSpaceDN w:val="0"/>
              <w:adjustRightInd w:val="0"/>
              <w:spacing w:after="0" w:line="480" w:lineRule="auto"/>
              <w:ind w:left="60" w:right="60"/>
              <w:jc w:val="right"/>
              <w:rPr>
                <w:rFonts w:ascii="Times New Roman" w:eastAsiaTheme="minorEastAsia" w:hAnsi="Times New Roman"/>
                <w:color w:val="000000"/>
                <w:sz w:val="24"/>
                <w:szCs w:val="24"/>
                <w:lang w:eastAsia="en-US"/>
              </w:rPr>
            </w:pPr>
            <w:r w:rsidRPr="006B5E0E">
              <w:rPr>
                <w:rFonts w:ascii="Times New Roman" w:eastAsiaTheme="minorEastAsia" w:hAnsi="Times New Roman"/>
                <w:color w:val="000000"/>
                <w:sz w:val="24"/>
                <w:szCs w:val="24"/>
                <w:lang w:eastAsia="en-US"/>
              </w:rPr>
              <w:t>200</w:t>
            </w:r>
          </w:p>
        </w:tc>
        <w:tc>
          <w:tcPr>
            <w:tcW w:w="1581" w:type="dxa"/>
            <w:tcBorders>
              <w:top w:val="nil"/>
              <w:bottom w:val="nil"/>
            </w:tcBorders>
            <w:shd w:val="clear" w:color="auto" w:fill="FFFFFF"/>
          </w:tcPr>
          <w:p w:rsidR="00887DE5" w:rsidRPr="006B5E0E" w:rsidRDefault="00887DE5" w:rsidP="006B5E0E">
            <w:pPr>
              <w:widowControl w:val="0"/>
              <w:autoSpaceDE w:val="0"/>
              <w:autoSpaceDN w:val="0"/>
              <w:adjustRightInd w:val="0"/>
              <w:spacing w:after="0" w:line="480" w:lineRule="auto"/>
              <w:ind w:left="60" w:right="60"/>
              <w:jc w:val="right"/>
              <w:rPr>
                <w:rFonts w:ascii="Times New Roman" w:eastAsiaTheme="minorEastAsia" w:hAnsi="Times New Roman"/>
                <w:color w:val="000000"/>
                <w:sz w:val="24"/>
                <w:szCs w:val="24"/>
                <w:lang w:eastAsia="en-US"/>
              </w:rPr>
            </w:pPr>
            <w:r w:rsidRPr="006B5E0E">
              <w:rPr>
                <w:rFonts w:ascii="Times New Roman" w:eastAsiaTheme="minorEastAsia" w:hAnsi="Times New Roman"/>
                <w:color w:val="000000"/>
                <w:sz w:val="24"/>
                <w:szCs w:val="24"/>
                <w:lang w:eastAsia="en-US"/>
              </w:rPr>
              <w:t>2.042</w:t>
            </w:r>
          </w:p>
        </w:tc>
        <w:tc>
          <w:tcPr>
            <w:tcW w:w="771" w:type="dxa"/>
            <w:tcBorders>
              <w:top w:val="nil"/>
              <w:bottom w:val="nil"/>
            </w:tcBorders>
            <w:shd w:val="clear" w:color="auto" w:fill="FFFFFF"/>
          </w:tcPr>
          <w:p w:rsidR="00887DE5" w:rsidRPr="006B5E0E" w:rsidRDefault="00887DE5" w:rsidP="006B5E0E">
            <w:pPr>
              <w:widowControl w:val="0"/>
              <w:autoSpaceDE w:val="0"/>
              <w:autoSpaceDN w:val="0"/>
              <w:adjustRightInd w:val="0"/>
              <w:spacing w:after="0" w:line="480" w:lineRule="auto"/>
              <w:rPr>
                <w:rFonts w:ascii="Times New Roman" w:eastAsiaTheme="minorEastAsia" w:hAnsi="Times New Roman"/>
                <w:sz w:val="24"/>
                <w:szCs w:val="24"/>
                <w:lang w:eastAsia="en-US"/>
              </w:rPr>
            </w:pPr>
          </w:p>
        </w:tc>
        <w:tc>
          <w:tcPr>
            <w:tcW w:w="941" w:type="dxa"/>
            <w:tcBorders>
              <w:top w:val="nil"/>
              <w:bottom w:val="nil"/>
              <w:right w:val="single" w:sz="16" w:space="0" w:color="000000"/>
            </w:tcBorders>
            <w:shd w:val="clear" w:color="auto" w:fill="FFFFFF"/>
          </w:tcPr>
          <w:p w:rsidR="00887DE5" w:rsidRPr="006B5E0E" w:rsidRDefault="00887DE5" w:rsidP="006B5E0E">
            <w:pPr>
              <w:widowControl w:val="0"/>
              <w:autoSpaceDE w:val="0"/>
              <w:autoSpaceDN w:val="0"/>
              <w:adjustRightInd w:val="0"/>
              <w:spacing w:after="0" w:line="480" w:lineRule="auto"/>
              <w:rPr>
                <w:rFonts w:ascii="Times New Roman" w:eastAsiaTheme="minorEastAsia" w:hAnsi="Times New Roman"/>
                <w:sz w:val="24"/>
                <w:szCs w:val="24"/>
                <w:lang w:eastAsia="en-US"/>
              </w:rPr>
            </w:pPr>
          </w:p>
        </w:tc>
      </w:tr>
      <w:tr w:rsidR="00887DE5" w:rsidRPr="006B5E0E" w:rsidTr="00773316">
        <w:trPr>
          <w:cantSplit/>
        </w:trPr>
        <w:tc>
          <w:tcPr>
            <w:tcW w:w="3014" w:type="dxa"/>
            <w:vMerge/>
            <w:tcBorders>
              <w:top w:val="nil"/>
              <w:left w:val="single" w:sz="16" w:space="0" w:color="000000"/>
              <w:bottom w:val="nil"/>
              <w:right w:val="nil"/>
            </w:tcBorders>
            <w:shd w:val="clear" w:color="auto" w:fill="FFFFFF"/>
            <w:vAlign w:val="center"/>
          </w:tcPr>
          <w:p w:rsidR="00887DE5" w:rsidRPr="006B5E0E" w:rsidRDefault="00887DE5" w:rsidP="006B5E0E">
            <w:pPr>
              <w:widowControl w:val="0"/>
              <w:autoSpaceDE w:val="0"/>
              <w:autoSpaceDN w:val="0"/>
              <w:adjustRightInd w:val="0"/>
              <w:spacing w:after="0" w:line="480" w:lineRule="auto"/>
              <w:rPr>
                <w:rFonts w:ascii="Times New Roman" w:eastAsiaTheme="minorEastAsia" w:hAnsi="Times New Roman"/>
                <w:sz w:val="24"/>
                <w:szCs w:val="24"/>
                <w:lang w:eastAsia="en-US"/>
              </w:rPr>
            </w:pPr>
          </w:p>
        </w:tc>
        <w:tc>
          <w:tcPr>
            <w:tcW w:w="1337" w:type="dxa"/>
            <w:tcBorders>
              <w:top w:val="nil"/>
              <w:left w:val="nil"/>
              <w:bottom w:val="nil"/>
              <w:right w:val="single" w:sz="16" w:space="0" w:color="000000"/>
            </w:tcBorders>
            <w:shd w:val="clear" w:color="auto" w:fill="FFFFFF"/>
            <w:vAlign w:val="center"/>
          </w:tcPr>
          <w:p w:rsidR="00887DE5" w:rsidRPr="006B5E0E" w:rsidRDefault="00887DE5" w:rsidP="006B5E0E">
            <w:pPr>
              <w:widowControl w:val="0"/>
              <w:autoSpaceDE w:val="0"/>
              <w:autoSpaceDN w:val="0"/>
              <w:adjustRightInd w:val="0"/>
              <w:spacing w:after="0" w:line="480" w:lineRule="auto"/>
              <w:ind w:left="60" w:right="60"/>
              <w:rPr>
                <w:rFonts w:ascii="Times New Roman" w:eastAsiaTheme="minorEastAsia" w:hAnsi="Times New Roman"/>
                <w:color w:val="000000"/>
                <w:sz w:val="24"/>
                <w:szCs w:val="24"/>
                <w:lang w:eastAsia="en-US"/>
              </w:rPr>
            </w:pPr>
            <w:r w:rsidRPr="006B5E0E">
              <w:rPr>
                <w:rFonts w:ascii="Times New Roman" w:eastAsiaTheme="minorEastAsia" w:hAnsi="Times New Roman"/>
                <w:color w:val="000000"/>
                <w:sz w:val="24"/>
                <w:szCs w:val="24"/>
                <w:lang w:eastAsia="en-US"/>
              </w:rPr>
              <w:t>Total</w:t>
            </w:r>
          </w:p>
        </w:tc>
        <w:tc>
          <w:tcPr>
            <w:tcW w:w="1562" w:type="dxa"/>
            <w:tcBorders>
              <w:top w:val="nil"/>
              <w:left w:val="single" w:sz="16" w:space="0" w:color="000000"/>
              <w:bottom w:val="nil"/>
            </w:tcBorders>
            <w:shd w:val="clear" w:color="auto" w:fill="FFFFFF"/>
          </w:tcPr>
          <w:p w:rsidR="00887DE5" w:rsidRPr="006B5E0E" w:rsidRDefault="00887DE5" w:rsidP="006B5E0E">
            <w:pPr>
              <w:widowControl w:val="0"/>
              <w:autoSpaceDE w:val="0"/>
              <w:autoSpaceDN w:val="0"/>
              <w:adjustRightInd w:val="0"/>
              <w:spacing w:after="0" w:line="480" w:lineRule="auto"/>
              <w:ind w:left="60" w:right="60"/>
              <w:jc w:val="right"/>
              <w:rPr>
                <w:rFonts w:ascii="Times New Roman" w:eastAsiaTheme="minorEastAsia" w:hAnsi="Times New Roman"/>
                <w:color w:val="000000"/>
                <w:sz w:val="24"/>
                <w:szCs w:val="24"/>
                <w:lang w:eastAsia="en-US"/>
              </w:rPr>
            </w:pPr>
            <w:r w:rsidRPr="006B5E0E">
              <w:rPr>
                <w:rFonts w:ascii="Times New Roman" w:eastAsiaTheme="minorEastAsia" w:hAnsi="Times New Roman"/>
                <w:color w:val="000000"/>
                <w:sz w:val="24"/>
                <w:szCs w:val="24"/>
                <w:lang w:eastAsia="en-US"/>
              </w:rPr>
              <w:t>423.230</w:t>
            </w:r>
          </w:p>
        </w:tc>
        <w:tc>
          <w:tcPr>
            <w:tcW w:w="1073" w:type="dxa"/>
            <w:tcBorders>
              <w:top w:val="nil"/>
              <w:bottom w:val="nil"/>
            </w:tcBorders>
            <w:shd w:val="clear" w:color="auto" w:fill="FFFFFF"/>
          </w:tcPr>
          <w:p w:rsidR="00887DE5" w:rsidRPr="006B5E0E" w:rsidRDefault="00887DE5" w:rsidP="006B5E0E">
            <w:pPr>
              <w:widowControl w:val="0"/>
              <w:autoSpaceDE w:val="0"/>
              <w:autoSpaceDN w:val="0"/>
              <w:adjustRightInd w:val="0"/>
              <w:spacing w:after="0" w:line="480" w:lineRule="auto"/>
              <w:ind w:left="60" w:right="60"/>
              <w:jc w:val="right"/>
              <w:rPr>
                <w:rFonts w:ascii="Times New Roman" w:eastAsiaTheme="minorEastAsia" w:hAnsi="Times New Roman"/>
                <w:color w:val="000000"/>
                <w:sz w:val="24"/>
                <w:szCs w:val="24"/>
                <w:lang w:eastAsia="en-US"/>
              </w:rPr>
            </w:pPr>
            <w:r w:rsidRPr="006B5E0E">
              <w:rPr>
                <w:rFonts w:ascii="Times New Roman" w:eastAsiaTheme="minorEastAsia" w:hAnsi="Times New Roman"/>
                <w:color w:val="000000"/>
                <w:sz w:val="24"/>
                <w:szCs w:val="24"/>
                <w:lang w:eastAsia="en-US"/>
              </w:rPr>
              <w:t>203</w:t>
            </w:r>
          </w:p>
        </w:tc>
        <w:tc>
          <w:tcPr>
            <w:tcW w:w="1581" w:type="dxa"/>
            <w:tcBorders>
              <w:top w:val="nil"/>
              <w:bottom w:val="nil"/>
            </w:tcBorders>
            <w:shd w:val="clear" w:color="auto" w:fill="FFFFFF"/>
          </w:tcPr>
          <w:p w:rsidR="00887DE5" w:rsidRPr="006B5E0E" w:rsidRDefault="00887DE5" w:rsidP="006B5E0E">
            <w:pPr>
              <w:widowControl w:val="0"/>
              <w:autoSpaceDE w:val="0"/>
              <w:autoSpaceDN w:val="0"/>
              <w:adjustRightInd w:val="0"/>
              <w:spacing w:after="0" w:line="480" w:lineRule="auto"/>
              <w:rPr>
                <w:rFonts w:ascii="Times New Roman" w:eastAsiaTheme="minorEastAsia" w:hAnsi="Times New Roman"/>
                <w:sz w:val="24"/>
                <w:szCs w:val="24"/>
                <w:lang w:eastAsia="en-US"/>
              </w:rPr>
            </w:pPr>
          </w:p>
        </w:tc>
        <w:tc>
          <w:tcPr>
            <w:tcW w:w="771" w:type="dxa"/>
            <w:tcBorders>
              <w:top w:val="nil"/>
              <w:bottom w:val="nil"/>
            </w:tcBorders>
            <w:shd w:val="clear" w:color="auto" w:fill="FFFFFF"/>
          </w:tcPr>
          <w:p w:rsidR="00887DE5" w:rsidRPr="006B5E0E" w:rsidRDefault="00887DE5" w:rsidP="006B5E0E">
            <w:pPr>
              <w:widowControl w:val="0"/>
              <w:autoSpaceDE w:val="0"/>
              <w:autoSpaceDN w:val="0"/>
              <w:adjustRightInd w:val="0"/>
              <w:spacing w:after="0" w:line="480" w:lineRule="auto"/>
              <w:rPr>
                <w:rFonts w:ascii="Times New Roman" w:eastAsiaTheme="minorEastAsia" w:hAnsi="Times New Roman"/>
                <w:sz w:val="24"/>
                <w:szCs w:val="24"/>
                <w:lang w:eastAsia="en-US"/>
              </w:rPr>
            </w:pPr>
          </w:p>
        </w:tc>
        <w:tc>
          <w:tcPr>
            <w:tcW w:w="941" w:type="dxa"/>
            <w:tcBorders>
              <w:top w:val="nil"/>
              <w:bottom w:val="nil"/>
              <w:right w:val="single" w:sz="16" w:space="0" w:color="000000"/>
            </w:tcBorders>
            <w:shd w:val="clear" w:color="auto" w:fill="FFFFFF"/>
          </w:tcPr>
          <w:p w:rsidR="00887DE5" w:rsidRPr="006B5E0E" w:rsidRDefault="00887DE5" w:rsidP="006B5E0E">
            <w:pPr>
              <w:widowControl w:val="0"/>
              <w:autoSpaceDE w:val="0"/>
              <w:autoSpaceDN w:val="0"/>
              <w:adjustRightInd w:val="0"/>
              <w:spacing w:after="0" w:line="480" w:lineRule="auto"/>
              <w:rPr>
                <w:rFonts w:ascii="Times New Roman" w:eastAsiaTheme="minorEastAsia" w:hAnsi="Times New Roman"/>
                <w:sz w:val="24"/>
                <w:szCs w:val="24"/>
                <w:lang w:eastAsia="en-US"/>
              </w:rPr>
            </w:pPr>
          </w:p>
        </w:tc>
      </w:tr>
      <w:tr w:rsidR="00887DE5" w:rsidRPr="006B5E0E" w:rsidTr="00773316">
        <w:trPr>
          <w:cantSplit/>
        </w:trPr>
        <w:tc>
          <w:tcPr>
            <w:tcW w:w="3014" w:type="dxa"/>
            <w:vMerge w:val="restart"/>
            <w:tcBorders>
              <w:top w:val="nil"/>
              <w:left w:val="single" w:sz="16" w:space="0" w:color="000000"/>
              <w:bottom w:val="nil"/>
              <w:right w:val="nil"/>
            </w:tcBorders>
            <w:shd w:val="clear" w:color="auto" w:fill="FFFFFF"/>
            <w:vAlign w:val="center"/>
          </w:tcPr>
          <w:p w:rsidR="00887DE5" w:rsidRPr="006B5E0E" w:rsidRDefault="00887DE5" w:rsidP="006B5E0E">
            <w:pPr>
              <w:widowControl w:val="0"/>
              <w:autoSpaceDE w:val="0"/>
              <w:autoSpaceDN w:val="0"/>
              <w:adjustRightInd w:val="0"/>
              <w:spacing w:after="0" w:line="480" w:lineRule="auto"/>
              <w:ind w:left="60" w:right="60"/>
              <w:rPr>
                <w:rFonts w:ascii="Times New Roman" w:eastAsiaTheme="minorEastAsia" w:hAnsi="Times New Roman"/>
                <w:color w:val="000000"/>
                <w:sz w:val="24"/>
                <w:szCs w:val="24"/>
                <w:lang w:eastAsia="en-US"/>
              </w:rPr>
            </w:pPr>
            <w:r w:rsidRPr="006B5E0E">
              <w:rPr>
                <w:rFonts w:ascii="Times New Roman" w:eastAsiaTheme="minorEastAsia" w:hAnsi="Times New Roman"/>
                <w:color w:val="000000"/>
                <w:sz w:val="24"/>
                <w:szCs w:val="24"/>
                <w:lang w:eastAsia="en-US"/>
              </w:rPr>
              <w:t>Investment Style (</w:t>
            </w:r>
            <w:proofErr w:type="spellStart"/>
            <w:r w:rsidRPr="006B5E0E">
              <w:rPr>
                <w:rFonts w:ascii="Times New Roman" w:eastAsiaTheme="minorEastAsia" w:hAnsi="Times New Roman"/>
                <w:color w:val="000000"/>
                <w:sz w:val="24"/>
                <w:szCs w:val="24"/>
                <w:lang w:eastAsia="en-US"/>
              </w:rPr>
              <w:t>Discretionarty</w:t>
            </w:r>
            <w:proofErr w:type="spellEnd"/>
            <w:r w:rsidRPr="006B5E0E">
              <w:rPr>
                <w:rFonts w:ascii="Times New Roman" w:eastAsiaTheme="minorEastAsia" w:hAnsi="Times New Roman"/>
                <w:color w:val="000000"/>
                <w:sz w:val="24"/>
                <w:szCs w:val="24"/>
                <w:lang w:eastAsia="en-US"/>
              </w:rPr>
              <w:t xml:space="preserve"> Vs Active)</w:t>
            </w:r>
          </w:p>
        </w:tc>
        <w:tc>
          <w:tcPr>
            <w:tcW w:w="1337" w:type="dxa"/>
            <w:tcBorders>
              <w:top w:val="nil"/>
              <w:left w:val="nil"/>
              <w:bottom w:val="nil"/>
              <w:right w:val="single" w:sz="16" w:space="0" w:color="000000"/>
            </w:tcBorders>
            <w:shd w:val="clear" w:color="auto" w:fill="FFFFFF"/>
            <w:vAlign w:val="center"/>
          </w:tcPr>
          <w:p w:rsidR="00887DE5" w:rsidRPr="006B5E0E" w:rsidRDefault="00887DE5" w:rsidP="006B5E0E">
            <w:pPr>
              <w:widowControl w:val="0"/>
              <w:autoSpaceDE w:val="0"/>
              <w:autoSpaceDN w:val="0"/>
              <w:adjustRightInd w:val="0"/>
              <w:spacing w:after="0" w:line="480" w:lineRule="auto"/>
              <w:ind w:left="60" w:right="60"/>
              <w:rPr>
                <w:rFonts w:ascii="Times New Roman" w:eastAsiaTheme="minorEastAsia" w:hAnsi="Times New Roman"/>
                <w:color w:val="000000"/>
                <w:sz w:val="24"/>
                <w:szCs w:val="24"/>
                <w:lang w:eastAsia="en-US"/>
              </w:rPr>
            </w:pPr>
            <w:r w:rsidRPr="006B5E0E">
              <w:rPr>
                <w:rFonts w:ascii="Times New Roman" w:eastAsiaTheme="minorEastAsia" w:hAnsi="Times New Roman"/>
                <w:color w:val="000000"/>
                <w:sz w:val="24"/>
                <w:szCs w:val="24"/>
                <w:lang w:eastAsia="en-US"/>
              </w:rPr>
              <w:t>Between Groups</w:t>
            </w:r>
          </w:p>
        </w:tc>
        <w:tc>
          <w:tcPr>
            <w:tcW w:w="1562" w:type="dxa"/>
            <w:tcBorders>
              <w:top w:val="nil"/>
              <w:left w:val="single" w:sz="16" w:space="0" w:color="000000"/>
              <w:bottom w:val="nil"/>
            </w:tcBorders>
            <w:shd w:val="clear" w:color="auto" w:fill="FFFFFF"/>
          </w:tcPr>
          <w:p w:rsidR="00887DE5" w:rsidRPr="006B5E0E" w:rsidRDefault="00887DE5" w:rsidP="006B5E0E">
            <w:pPr>
              <w:widowControl w:val="0"/>
              <w:autoSpaceDE w:val="0"/>
              <w:autoSpaceDN w:val="0"/>
              <w:adjustRightInd w:val="0"/>
              <w:spacing w:after="0" w:line="480" w:lineRule="auto"/>
              <w:ind w:left="60" w:right="60"/>
              <w:jc w:val="right"/>
              <w:rPr>
                <w:rFonts w:ascii="Times New Roman" w:eastAsiaTheme="minorEastAsia" w:hAnsi="Times New Roman"/>
                <w:color w:val="000000"/>
                <w:sz w:val="24"/>
                <w:szCs w:val="24"/>
                <w:lang w:eastAsia="en-US"/>
              </w:rPr>
            </w:pPr>
            <w:r w:rsidRPr="006B5E0E">
              <w:rPr>
                <w:rFonts w:ascii="Times New Roman" w:eastAsiaTheme="minorEastAsia" w:hAnsi="Times New Roman"/>
                <w:color w:val="000000"/>
                <w:sz w:val="24"/>
                <w:szCs w:val="24"/>
                <w:lang w:eastAsia="en-US"/>
              </w:rPr>
              <w:t>67.975</w:t>
            </w:r>
          </w:p>
        </w:tc>
        <w:tc>
          <w:tcPr>
            <w:tcW w:w="1073" w:type="dxa"/>
            <w:tcBorders>
              <w:top w:val="nil"/>
              <w:bottom w:val="nil"/>
            </w:tcBorders>
            <w:shd w:val="clear" w:color="auto" w:fill="FFFFFF"/>
          </w:tcPr>
          <w:p w:rsidR="00887DE5" w:rsidRPr="006B5E0E" w:rsidRDefault="00887DE5" w:rsidP="006B5E0E">
            <w:pPr>
              <w:widowControl w:val="0"/>
              <w:autoSpaceDE w:val="0"/>
              <w:autoSpaceDN w:val="0"/>
              <w:adjustRightInd w:val="0"/>
              <w:spacing w:after="0" w:line="480" w:lineRule="auto"/>
              <w:ind w:left="60" w:right="60"/>
              <w:jc w:val="right"/>
              <w:rPr>
                <w:rFonts w:ascii="Times New Roman" w:eastAsiaTheme="minorEastAsia" w:hAnsi="Times New Roman"/>
                <w:color w:val="000000"/>
                <w:sz w:val="24"/>
                <w:szCs w:val="24"/>
                <w:lang w:eastAsia="en-US"/>
              </w:rPr>
            </w:pPr>
            <w:r w:rsidRPr="006B5E0E">
              <w:rPr>
                <w:rFonts w:ascii="Times New Roman" w:eastAsiaTheme="minorEastAsia" w:hAnsi="Times New Roman"/>
                <w:color w:val="000000"/>
                <w:sz w:val="24"/>
                <w:szCs w:val="24"/>
                <w:lang w:eastAsia="en-US"/>
              </w:rPr>
              <w:t>3</w:t>
            </w:r>
          </w:p>
        </w:tc>
        <w:tc>
          <w:tcPr>
            <w:tcW w:w="1581" w:type="dxa"/>
            <w:tcBorders>
              <w:top w:val="nil"/>
              <w:bottom w:val="nil"/>
            </w:tcBorders>
            <w:shd w:val="clear" w:color="auto" w:fill="FFFFFF"/>
          </w:tcPr>
          <w:p w:rsidR="00887DE5" w:rsidRPr="006B5E0E" w:rsidRDefault="00887DE5" w:rsidP="006B5E0E">
            <w:pPr>
              <w:widowControl w:val="0"/>
              <w:autoSpaceDE w:val="0"/>
              <w:autoSpaceDN w:val="0"/>
              <w:adjustRightInd w:val="0"/>
              <w:spacing w:after="0" w:line="480" w:lineRule="auto"/>
              <w:ind w:left="60" w:right="60"/>
              <w:jc w:val="right"/>
              <w:rPr>
                <w:rFonts w:ascii="Times New Roman" w:eastAsiaTheme="minorEastAsia" w:hAnsi="Times New Roman"/>
                <w:color w:val="000000"/>
                <w:sz w:val="24"/>
                <w:szCs w:val="24"/>
                <w:lang w:eastAsia="en-US"/>
              </w:rPr>
            </w:pPr>
            <w:r w:rsidRPr="006B5E0E">
              <w:rPr>
                <w:rFonts w:ascii="Times New Roman" w:eastAsiaTheme="minorEastAsia" w:hAnsi="Times New Roman"/>
                <w:color w:val="000000"/>
                <w:sz w:val="24"/>
                <w:szCs w:val="24"/>
                <w:lang w:eastAsia="en-US"/>
              </w:rPr>
              <w:t>22.658</w:t>
            </w:r>
          </w:p>
        </w:tc>
        <w:tc>
          <w:tcPr>
            <w:tcW w:w="771" w:type="dxa"/>
            <w:tcBorders>
              <w:top w:val="nil"/>
              <w:bottom w:val="nil"/>
            </w:tcBorders>
            <w:shd w:val="clear" w:color="auto" w:fill="FFFFFF"/>
          </w:tcPr>
          <w:p w:rsidR="00887DE5" w:rsidRPr="006B5E0E" w:rsidRDefault="00887DE5" w:rsidP="006B5E0E">
            <w:pPr>
              <w:widowControl w:val="0"/>
              <w:autoSpaceDE w:val="0"/>
              <w:autoSpaceDN w:val="0"/>
              <w:adjustRightInd w:val="0"/>
              <w:spacing w:after="0" w:line="480" w:lineRule="auto"/>
              <w:ind w:left="60" w:right="60"/>
              <w:jc w:val="right"/>
              <w:rPr>
                <w:rFonts w:ascii="Times New Roman" w:eastAsiaTheme="minorEastAsia" w:hAnsi="Times New Roman"/>
                <w:color w:val="000000"/>
                <w:sz w:val="24"/>
                <w:szCs w:val="24"/>
                <w:lang w:eastAsia="en-US"/>
              </w:rPr>
            </w:pPr>
            <w:r w:rsidRPr="006B5E0E">
              <w:rPr>
                <w:rFonts w:ascii="Times New Roman" w:eastAsiaTheme="minorEastAsia" w:hAnsi="Times New Roman"/>
                <w:color w:val="000000"/>
                <w:sz w:val="24"/>
                <w:szCs w:val="24"/>
                <w:lang w:eastAsia="en-US"/>
              </w:rPr>
              <w:t>11.415</w:t>
            </w:r>
          </w:p>
        </w:tc>
        <w:tc>
          <w:tcPr>
            <w:tcW w:w="941" w:type="dxa"/>
            <w:tcBorders>
              <w:top w:val="nil"/>
              <w:bottom w:val="nil"/>
              <w:right w:val="single" w:sz="16" w:space="0" w:color="000000"/>
            </w:tcBorders>
            <w:shd w:val="clear" w:color="auto" w:fill="FFFFFF"/>
          </w:tcPr>
          <w:p w:rsidR="00887DE5" w:rsidRPr="006B5E0E" w:rsidRDefault="00887DE5" w:rsidP="006B5E0E">
            <w:pPr>
              <w:widowControl w:val="0"/>
              <w:autoSpaceDE w:val="0"/>
              <w:autoSpaceDN w:val="0"/>
              <w:adjustRightInd w:val="0"/>
              <w:spacing w:after="0" w:line="480" w:lineRule="auto"/>
              <w:ind w:left="60" w:right="60"/>
              <w:jc w:val="right"/>
              <w:rPr>
                <w:rFonts w:ascii="Times New Roman" w:eastAsiaTheme="minorEastAsia" w:hAnsi="Times New Roman"/>
                <w:color w:val="000000"/>
                <w:sz w:val="24"/>
                <w:szCs w:val="24"/>
                <w:lang w:eastAsia="en-US"/>
              </w:rPr>
            </w:pPr>
            <w:r w:rsidRPr="006B5E0E">
              <w:rPr>
                <w:rFonts w:ascii="Times New Roman" w:eastAsiaTheme="minorEastAsia" w:hAnsi="Times New Roman"/>
                <w:color w:val="000000"/>
                <w:sz w:val="24"/>
                <w:szCs w:val="24"/>
                <w:lang w:eastAsia="en-US"/>
              </w:rPr>
              <w:t>.000</w:t>
            </w:r>
          </w:p>
        </w:tc>
      </w:tr>
      <w:tr w:rsidR="00887DE5" w:rsidRPr="006B5E0E" w:rsidTr="00773316">
        <w:trPr>
          <w:cantSplit/>
        </w:trPr>
        <w:tc>
          <w:tcPr>
            <w:tcW w:w="3014" w:type="dxa"/>
            <w:vMerge/>
            <w:tcBorders>
              <w:top w:val="nil"/>
              <w:left w:val="single" w:sz="16" w:space="0" w:color="000000"/>
              <w:bottom w:val="nil"/>
              <w:right w:val="nil"/>
            </w:tcBorders>
            <w:shd w:val="clear" w:color="auto" w:fill="FFFFFF"/>
            <w:vAlign w:val="center"/>
          </w:tcPr>
          <w:p w:rsidR="00887DE5" w:rsidRPr="006B5E0E" w:rsidRDefault="00887DE5" w:rsidP="006B5E0E">
            <w:pPr>
              <w:widowControl w:val="0"/>
              <w:autoSpaceDE w:val="0"/>
              <w:autoSpaceDN w:val="0"/>
              <w:adjustRightInd w:val="0"/>
              <w:spacing w:after="0" w:line="480" w:lineRule="auto"/>
              <w:rPr>
                <w:rFonts w:ascii="Times New Roman" w:eastAsiaTheme="minorEastAsia" w:hAnsi="Times New Roman"/>
                <w:color w:val="000000"/>
                <w:sz w:val="24"/>
                <w:szCs w:val="24"/>
                <w:lang w:eastAsia="en-US"/>
              </w:rPr>
            </w:pPr>
          </w:p>
        </w:tc>
        <w:tc>
          <w:tcPr>
            <w:tcW w:w="1337" w:type="dxa"/>
            <w:tcBorders>
              <w:top w:val="nil"/>
              <w:left w:val="nil"/>
              <w:bottom w:val="nil"/>
              <w:right w:val="single" w:sz="16" w:space="0" w:color="000000"/>
            </w:tcBorders>
            <w:shd w:val="clear" w:color="auto" w:fill="FFFFFF"/>
            <w:vAlign w:val="center"/>
          </w:tcPr>
          <w:p w:rsidR="00887DE5" w:rsidRPr="006B5E0E" w:rsidRDefault="00887DE5" w:rsidP="006B5E0E">
            <w:pPr>
              <w:widowControl w:val="0"/>
              <w:autoSpaceDE w:val="0"/>
              <w:autoSpaceDN w:val="0"/>
              <w:adjustRightInd w:val="0"/>
              <w:spacing w:after="0" w:line="480" w:lineRule="auto"/>
              <w:ind w:left="60" w:right="60"/>
              <w:rPr>
                <w:rFonts w:ascii="Times New Roman" w:eastAsiaTheme="minorEastAsia" w:hAnsi="Times New Roman"/>
                <w:color w:val="000000"/>
                <w:sz w:val="24"/>
                <w:szCs w:val="24"/>
                <w:lang w:eastAsia="en-US"/>
              </w:rPr>
            </w:pPr>
            <w:r w:rsidRPr="006B5E0E">
              <w:rPr>
                <w:rFonts w:ascii="Times New Roman" w:eastAsiaTheme="minorEastAsia" w:hAnsi="Times New Roman"/>
                <w:color w:val="000000"/>
                <w:sz w:val="24"/>
                <w:szCs w:val="24"/>
                <w:lang w:eastAsia="en-US"/>
              </w:rPr>
              <w:t>Within Groups</w:t>
            </w:r>
          </w:p>
        </w:tc>
        <w:tc>
          <w:tcPr>
            <w:tcW w:w="1562" w:type="dxa"/>
            <w:tcBorders>
              <w:top w:val="nil"/>
              <w:left w:val="single" w:sz="16" w:space="0" w:color="000000"/>
              <w:bottom w:val="nil"/>
            </w:tcBorders>
            <w:shd w:val="clear" w:color="auto" w:fill="FFFFFF"/>
          </w:tcPr>
          <w:p w:rsidR="00887DE5" w:rsidRPr="006B5E0E" w:rsidRDefault="00887DE5" w:rsidP="006B5E0E">
            <w:pPr>
              <w:widowControl w:val="0"/>
              <w:autoSpaceDE w:val="0"/>
              <w:autoSpaceDN w:val="0"/>
              <w:adjustRightInd w:val="0"/>
              <w:spacing w:after="0" w:line="480" w:lineRule="auto"/>
              <w:ind w:left="60" w:right="60"/>
              <w:jc w:val="right"/>
              <w:rPr>
                <w:rFonts w:ascii="Times New Roman" w:eastAsiaTheme="minorEastAsia" w:hAnsi="Times New Roman"/>
                <w:color w:val="000000"/>
                <w:sz w:val="24"/>
                <w:szCs w:val="24"/>
                <w:lang w:eastAsia="en-US"/>
              </w:rPr>
            </w:pPr>
            <w:r w:rsidRPr="006B5E0E">
              <w:rPr>
                <w:rFonts w:ascii="Times New Roman" w:eastAsiaTheme="minorEastAsia" w:hAnsi="Times New Roman"/>
                <w:color w:val="000000"/>
                <w:sz w:val="24"/>
                <w:szCs w:val="24"/>
                <w:lang w:eastAsia="en-US"/>
              </w:rPr>
              <w:t>396.980</w:t>
            </w:r>
          </w:p>
        </w:tc>
        <w:tc>
          <w:tcPr>
            <w:tcW w:w="1073" w:type="dxa"/>
            <w:tcBorders>
              <w:top w:val="nil"/>
              <w:bottom w:val="nil"/>
            </w:tcBorders>
            <w:shd w:val="clear" w:color="auto" w:fill="FFFFFF"/>
          </w:tcPr>
          <w:p w:rsidR="00887DE5" w:rsidRPr="006B5E0E" w:rsidRDefault="00887DE5" w:rsidP="006B5E0E">
            <w:pPr>
              <w:widowControl w:val="0"/>
              <w:autoSpaceDE w:val="0"/>
              <w:autoSpaceDN w:val="0"/>
              <w:adjustRightInd w:val="0"/>
              <w:spacing w:after="0" w:line="480" w:lineRule="auto"/>
              <w:ind w:left="60" w:right="60"/>
              <w:jc w:val="right"/>
              <w:rPr>
                <w:rFonts w:ascii="Times New Roman" w:eastAsiaTheme="minorEastAsia" w:hAnsi="Times New Roman"/>
                <w:color w:val="000000"/>
                <w:sz w:val="24"/>
                <w:szCs w:val="24"/>
                <w:lang w:eastAsia="en-US"/>
              </w:rPr>
            </w:pPr>
            <w:r w:rsidRPr="006B5E0E">
              <w:rPr>
                <w:rFonts w:ascii="Times New Roman" w:eastAsiaTheme="minorEastAsia" w:hAnsi="Times New Roman"/>
                <w:color w:val="000000"/>
                <w:sz w:val="24"/>
                <w:szCs w:val="24"/>
                <w:lang w:eastAsia="en-US"/>
              </w:rPr>
              <w:t>200</w:t>
            </w:r>
          </w:p>
        </w:tc>
        <w:tc>
          <w:tcPr>
            <w:tcW w:w="1581" w:type="dxa"/>
            <w:tcBorders>
              <w:top w:val="nil"/>
              <w:bottom w:val="nil"/>
            </w:tcBorders>
            <w:shd w:val="clear" w:color="auto" w:fill="FFFFFF"/>
          </w:tcPr>
          <w:p w:rsidR="00887DE5" w:rsidRPr="006B5E0E" w:rsidRDefault="00887DE5" w:rsidP="006B5E0E">
            <w:pPr>
              <w:widowControl w:val="0"/>
              <w:autoSpaceDE w:val="0"/>
              <w:autoSpaceDN w:val="0"/>
              <w:adjustRightInd w:val="0"/>
              <w:spacing w:after="0" w:line="480" w:lineRule="auto"/>
              <w:ind w:left="60" w:right="60"/>
              <w:jc w:val="right"/>
              <w:rPr>
                <w:rFonts w:ascii="Times New Roman" w:eastAsiaTheme="minorEastAsia" w:hAnsi="Times New Roman"/>
                <w:color w:val="000000"/>
                <w:sz w:val="24"/>
                <w:szCs w:val="24"/>
                <w:lang w:eastAsia="en-US"/>
              </w:rPr>
            </w:pPr>
            <w:r w:rsidRPr="006B5E0E">
              <w:rPr>
                <w:rFonts w:ascii="Times New Roman" w:eastAsiaTheme="minorEastAsia" w:hAnsi="Times New Roman"/>
                <w:color w:val="000000"/>
                <w:sz w:val="24"/>
                <w:szCs w:val="24"/>
                <w:lang w:eastAsia="en-US"/>
              </w:rPr>
              <w:t>1.985</w:t>
            </w:r>
          </w:p>
        </w:tc>
        <w:tc>
          <w:tcPr>
            <w:tcW w:w="771" w:type="dxa"/>
            <w:tcBorders>
              <w:top w:val="nil"/>
              <w:bottom w:val="nil"/>
            </w:tcBorders>
            <w:shd w:val="clear" w:color="auto" w:fill="FFFFFF"/>
          </w:tcPr>
          <w:p w:rsidR="00887DE5" w:rsidRPr="006B5E0E" w:rsidRDefault="00887DE5" w:rsidP="006B5E0E">
            <w:pPr>
              <w:widowControl w:val="0"/>
              <w:autoSpaceDE w:val="0"/>
              <w:autoSpaceDN w:val="0"/>
              <w:adjustRightInd w:val="0"/>
              <w:spacing w:after="0" w:line="480" w:lineRule="auto"/>
              <w:rPr>
                <w:rFonts w:ascii="Times New Roman" w:eastAsiaTheme="minorEastAsia" w:hAnsi="Times New Roman"/>
                <w:sz w:val="24"/>
                <w:szCs w:val="24"/>
                <w:lang w:eastAsia="en-US"/>
              </w:rPr>
            </w:pPr>
          </w:p>
        </w:tc>
        <w:tc>
          <w:tcPr>
            <w:tcW w:w="941" w:type="dxa"/>
            <w:tcBorders>
              <w:top w:val="nil"/>
              <w:bottom w:val="nil"/>
              <w:right w:val="single" w:sz="16" w:space="0" w:color="000000"/>
            </w:tcBorders>
            <w:shd w:val="clear" w:color="auto" w:fill="FFFFFF"/>
          </w:tcPr>
          <w:p w:rsidR="00887DE5" w:rsidRPr="006B5E0E" w:rsidRDefault="00887DE5" w:rsidP="006B5E0E">
            <w:pPr>
              <w:widowControl w:val="0"/>
              <w:autoSpaceDE w:val="0"/>
              <w:autoSpaceDN w:val="0"/>
              <w:adjustRightInd w:val="0"/>
              <w:spacing w:after="0" w:line="480" w:lineRule="auto"/>
              <w:rPr>
                <w:rFonts w:ascii="Times New Roman" w:eastAsiaTheme="minorEastAsia" w:hAnsi="Times New Roman"/>
                <w:sz w:val="24"/>
                <w:szCs w:val="24"/>
                <w:lang w:eastAsia="en-US"/>
              </w:rPr>
            </w:pPr>
          </w:p>
        </w:tc>
      </w:tr>
      <w:tr w:rsidR="00887DE5" w:rsidRPr="006B5E0E" w:rsidTr="00773316">
        <w:trPr>
          <w:cantSplit/>
        </w:trPr>
        <w:tc>
          <w:tcPr>
            <w:tcW w:w="3014" w:type="dxa"/>
            <w:vMerge/>
            <w:tcBorders>
              <w:top w:val="nil"/>
              <w:left w:val="single" w:sz="16" w:space="0" w:color="000000"/>
              <w:bottom w:val="nil"/>
              <w:right w:val="nil"/>
            </w:tcBorders>
            <w:shd w:val="clear" w:color="auto" w:fill="FFFFFF"/>
            <w:vAlign w:val="center"/>
          </w:tcPr>
          <w:p w:rsidR="00887DE5" w:rsidRPr="006B5E0E" w:rsidRDefault="00887DE5" w:rsidP="006B5E0E">
            <w:pPr>
              <w:widowControl w:val="0"/>
              <w:autoSpaceDE w:val="0"/>
              <w:autoSpaceDN w:val="0"/>
              <w:adjustRightInd w:val="0"/>
              <w:spacing w:after="0" w:line="480" w:lineRule="auto"/>
              <w:rPr>
                <w:rFonts w:ascii="Times New Roman" w:eastAsiaTheme="minorEastAsia" w:hAnsi="Times New Roman"/>
                <w:sz w:val="24"/>
                <w:szCs w:val="24"/>
                <w:lang w:eastAsia="en-US"/>
              </w:rPr>
            </w:pPr>
          </w:p>
        </w:tc>
        <w:tc>
          <w:tcPr>
            <w:tcW w:w="1337" w:type="dxa"/>
            <w:tcBorders>
              <w:top w:val="nil"/>
              <w:left w:val="nil"/>
              <w:bottom w:val="nil"/>
              <w:right w:val="single" w:sz="16" w:space="0" w:color="000000"/>
            </w:tcBorders>
            <w:shd w:val="clear" w:color="auto" w:fill="FFFFFF"/>
            <w:vAlign w:val="center"/>
          </w:tcPr>
          <w:p w:rsidR="00887DE5" w:rsidRPr="006B5E0E" w:rsidRDefault="00887DE5" w:rsidP="006B5E0E">
            <w:pPr>
              <w:widowControl w:val="0"/>
              <w:autoSpaceDE w:val="0"/>
              <w:autoSpaceDN w:val="0"/>
              <w:adjustRightInd w:val="0"/>
              <w:spacing w:after="0" w:line="480" w:lineRule="auto"/>
              <w:ind w:left="60" w:right="60"/>
              <w:rPr>
                <w:rFonts w:ascii="Times New Roman" w:eastAsiaTheme="minorEastAsia" w:hAnsi="Times New Roman"/>
                <w:color w:val="000000"/>
                <w:sz w:val="24"/>
                <w:szCs w:val="24"/>
                <w:lang w:eastAsia="en-US"/>
              </w:rPr>
            </w:pPr>
            <w:r w:rsidRPr="006B5E0E">
              <w:rPr>
                <w:rFonts w:ascii="Times New Roman" w:eastAsiaTheme="minorEastAsia" w:hAnsi="Times New Roman"/>
                <w:color w:val="000000"/>
                <w:sz w:val="24"/>
                <w:szCs w:val="24"/>
                <w:lang w:eastAsia="en-US"/>
              </w:rPr>
              <w:t>Total</w:t>
            </w:r>
          </w:p>
        </w:tc>
        <w:tc>
          <w:tcPr>
            <w:tcW w:w="1562" w:type="dxa"/>
            <w:tcBorders>
              <w:top w:val="nil"/>
              <w:left w:val="single" w:sz="16" w:space="0" w:color="000000"/>
              <w:bottom w:val="nil"/>
            </w:tcBorders>
            <w:shd w:val="clear" w:color="auto" w:fill="FFFFFF"/>
          </w:tcPr>
          <w:p w:rsidR="00887DE5" w:rsidRPr="006B5E0E" w:rsidRDefault="00887DE5" w:rsidP="006B5E0E">
            <w:pPr>
              <w:widowControl w:val="0"/>
              <w:autoSpaceDE w:val="0"/>
              <w:autoSpaceDN w:val="0"/>
              <w:adjustRightInd w:val="0"/>
              <w:spacing w:after="0" w:line="480" w:lineRule="auto"/>
              <w:ind w:left="60" w:right="60"/>
              <w:jc w:val="right"/>
              <w:rPr>
                <w:rFonts w:ascii="Times New Roman" w:eastAsiaTheme="minorEastAsia" w:hAnsi="Times New Roman"/>
                <w:color w:val="000000"/>
                <w:sz w:val="24"/>
                <w:szCs w:val="24"/>
                <w:lang w:eastAsia="en-US"/>
              </w:rPr>
            </w:pPr>
            <w:r w:rsidRPr="006B5E0E">
              <w:rPr>
                <w:rFonts w:ascii="Times New Roman" w:eastAsiaTheme="minorEastAsia" w:hAnsi="Times New Roman"/>
                <w:color w:val="000000"/>
                <w:sz w:val="24"/>
                <w:szCs w:val="24"/>
                <w:lang w:eastAsia="en-US"/>
              </w:rPr>
              <w:t>464.956</w:t>
            </w:r>
          </w:p>
        </w:tc>
        <w:tc>
          <w:tcPr>
            <w:tcW w:w="1073" w:type="dxa"/>
            <w:tcBorders>
              <w:top w:val="nil"/>
              <w:bottom w:val="nil"/>
            </w:tcBorders>
            <w:shd w:val="clear" w:color="auto" w:fill="FFFFFF"/>
          </w:tcPr>
          <w:p w:rsidR="00887DE5" w:rsidRPr="006B5E0E" w:rsidRDefault="00887DE5" w:rsidP="006B5E0E">
            <w:pPr>
              <w:widowControl w:val="0"/>
              <w:autoSpaceDE w:val="0"/>
              <w:autoSpaceDN w:val="0"/>
              <w:adjustRightInd w:val="0"/>
              <w:spacing w:after="0" w:line="480" w:lineRule="auto"/>
              <w:ind w:left="60" w:right="60"/>
              <w:jc w:val="right"/>
              <w:rPr>
                <w:rFonts w:ascii="Times New Roman" w:eastAsiaTheme="minorEastAsia" w:hAnsi="Times New Roman"/>
                <w:color w:val="000000"/>
                <w:sz w:val="24"/>
                <w:szCs w:val="24"/>
                <w:lang w:eastAsia="en-US"/>
              </w:rPr>
            </w:pPr>
            <w:r w:rsidRPr="006B5E0E">
              <w:rPr>
                <w:rFonts w:ascii="Times New Roman" w:eastAsiaTheme="minorEastAsia" w:hAnsi="Times New Roman"/>
                <w:color w:val="000000"/>
                <w:sz w:val="24"/>
                <w:szCs w:val="24"/>
                <w:lang w:eastAsia="en-US"/>
              </w:rPr>
              <w:t>203</w:t>
            </w:r>
          </w:p>
        </w:tc>
        <w:tc>
          <w:tcPr>
            <w:tcW w:w="1581" w:type="dxa"/>
            <w:tcBorders>
              <w:top w:val="nil"/>
              <w:bottom w:val="nil"/>
            </w:tcBorders>
            <w:shd w:val="clear" w:color="auto" w:fill="FFFFFF"/>
          </w:tcPr>
          <w:p w:rsidR="00887DE5" w:rsidRPr="006B5E0E" w:rsidRDefault="00887DE5" w:rsidP="006B5E0E">
            <w:pPr>
              <w:widowControl w:val="0"/>
              <w:autoSpaceDE w:val="0"/>
              <w:autoSpaceDN w:val="0"/>
              <w:adjustRightInd w:val="0"/>
              <w:spacing w:after="0" w:line="480" w:lineRule="auto"/>
              <w:rPr>
                <w:rFonts w:ascii="Times New Roman" w:eastAsiaTheme="minorEastAsia" w:hAnsi="Times New Roman"/>
                <w:sz w:val="24"/>
                <w:szCs w:val="24"/>
                <w:lang w:eastAsia="en-US"/>
              </w:rPr>
            </w:pPr>
          </w:p>
        </w:tc>
        <w:tc>
          <w:tcPr>
            <w:tcW w:w="771" w:type="dxa"/>
            <w:tcBorders>
              <w:top w:val="nil"/>
              <w:bottom w:val="nil"/>
            </w:tcBorders>
            <w:shd w:val="clear" w:color="auto" w:fill="FFFFFF"/>
          </w:tcPr>
          <w:p w:rsidR="00887DE5" w:rsidRPr="006B5E0E" w:rsidRDefault="00887DE5" w:rsidP="006B5E0E">
            <w:pPr>
              <w:widowControl w:val="0"/>
              <w:autoSpaceDE w:val="0"/>
              <w:autoSpaceDN w:val="0"/>
              <w:adjustRightInd w:val="0"/>
              <w:spacing w:after="0" w:line="480" w:lineRule="auto"/>
              <w:rPr>
                <w:rFonts w:ascii="Times New Roman" w:eastAsiaTheme="minorEastAsia" w:hAnsi="Times New Roman"/>
                <w:sz w:val="24"/>
                <w:szCs w:val="24"/>
                <w:lang w:eastAsia="en-US"/>
              </w:rPr>
            </w:pPr>
          </w:p>
        </w:tc>
        <w:tc>
          <w:tcPr>
            <w:tcW w:w="941" w:type="dxa"/>
            <w:tcBorders>
              <w:top w:val="nil"/>
              <w:bottom w:val="nil"/>
              <w:right w:val="single" w:sz="16" w:space="0" w:color="000000"/>
            </w:tcBorders>
            <w:shd w:val="clear" w:color="auto" w:fill="FFFFFF"/>
          </w:tcPr>
          <w:p w:rsidR="00887DE5" w:rsidRPr="006B5E0E" w:rsidRDefault="00887DE5" w:rsidP="006B5E0E">
            <w:pPr>
              <w:widowControl w:val="0"/>
              <w:autoSpaceDE w:val="0"/>
              <w:autoSpaceDN w:val="0"/>
              <w:adjustRightInd w:val="0"/>
              <w:spacing w:after="0" w:line="480" w:lineRule="auto"/>
              <w:rPr>
                <w:rFonts w:ascii="Times New Roman" w:eastAsiaTheme="minorEastAsia" w:hAnsi="Times New Roman"/>
                <w:sz w:val="24"/>
                <w:szCs w:val="24"/>
                <w:lang w:eastAsia="en-US"/>
              </w:rPr>
            </w:pPr>
          </w:p>
        </w:tc>
      </w:tr>
      <w:tr w:rsidR="00887DE5" w:rsidRPr="006B5E0E" w:rsidTr="00773316">
        <w:trPr>
          <w:cantSplit/>
        </w:trPr>
        <w:tc>
          <w:tcPr>
            <w:tcW w:w="3014" w:type="dxa"/>
            <w:vMerge w:val="restart"/>
            <w:tcBorders>
              <w:top w:val="nil"/>
              <w:left w:val="single" w:sz="16" w:space="0" w:color="000000"/>
              <w:bottom w:val="nil"/>
              <w:right w:val="nil"/>
            </w:tcBorders>
            <w:shd w:val="clear" w:color="auto" w:fill="FFFFFF"/>
            <w:vAlign w:val="center"/>
          </w:tcPr>
          <w:p w:rsidR="00887DE5" w:rsidRPr="006B5E0E" w:rsidRDefault="00887DE5" w:rsidP="006B5E0E">
            <w:pPr>
              <w:widowControl w:val="0"/>
              <w:autoSpaceDE w:val="0"/>
              <w:autoSpaceDN w:val="0"/>
              <w:adjustRightInd w:val="0"/>
              <w:spacing w:after="0" w:line="480" w:lineRule="auto"/>
              <w:ind w:left="60" w:right="60"/>
              <w:rPr>
                <w:rFonts w:ascii="Times New Roman" w:eastAsiaTheme="minorEastAsia" w:hAnsi="Times New Roman"/>
                <w:color w:val="000000"/>
                <w:sz w:val="24"/>
                <w:szCs w:val="24"/>
                <w:lang w:eastAsia="en-US"/>
              </w:rPr>
            </w:pPr>
            <w:r w:rsidRPr="006B5E0E">
              <w:rPr>
                <w:rFonts w:ascii="Times New Roman" w:eastAsiaTheme="minorEastAsia" w:hAnsi="Times New Roman"/>
                <w:color w:val="000000"/>
                <w:sz w:val="24"/>
                <w:szCs w:val="24"/>
                <w:lang w:eastAsia="en-US"/>
              </w:rPr>
              <w:t>Compensation (AUM Vs Commission)</w:t>
            </w:r>
          </w:p>
        </w:tc>
        <w:tc>
          <w:tcPr>
            <w:tcW w:w="1337" w:type="dxa"/>
            <w:tcBorders>
              <w:top w:val="nil"/>
              <w:left w:val="nil"/>
              <w:bottom w:val="nil"/>
              <w:right w:val="single" w:sz="16" w:space="0" w:color="000000"/>
            </w:tcBorders>
            <w:shd w:val="clear" w:color="auto" w:fill="FFFFFF"/>
            <w:vAlign w:val="center"/>
          </w:tcPr>
          <w:p w:rsidR="00887DE5" w:rsidRPr="006B5E0E" w:rsidRDefault="00887DE5" w:rsidP="006B5E0E">
            <w:pPr>
              <w:widowControl w:val="0"/>
              <w:autoSpaceDE w:val="0"/>
              <w:autoSpaceDN w:val="0"/>
              <w:adjustRightInd w:val="0"/>
              <w:spacing w:after="0" w:line="480" w:lineRule="auto"/>
              <w:ind w:left="60" w:right="60"/>
              <w:rPr>
                <w:rFonts w:ascii="Times New Roman" w:eastAsiaTheme="minorEastAsia" w:hAnsi="Times New Roman"/>
                <w:color w:val="000000"/>
                <w:sz w:val="24"/>
                <w:szCs w:val="24"/>
                <w:lang w:eastAsia="en-US"/>
              </w:rPr>
            </w:pPr>
            <w:r w:rsidRPr="006B5E0E">
              <w:rPr>
                <w:rFonts w:ascii="Times New Roman" w:eastAsiaTheme="minorEastAsia" w:hAnsi="Times New Roman"/>
                <w:color w:val="000000"/>
                <w:sz w:val="24"/>
                <w:szCs w:val="24"/>
                <w:lang w:eastAsia="en-US"/>
              </w:rPr>
              <w:t>Between Groups</w:t>
            </w:r>
          </w:p>
        </w:tc>
        <w:tc>
          <w:tcPr>
            <w:tcW w:w="1562" w:type="dxa"/>
            <w:tcBorders>
              <w:top w:val="nil"/>
              <w:left w:val="single" w:sz="16" w:space="0" w:color="000000"/>
              <w:bottom w:val="nil"/>
            </w:tcBorders>
            <w:shd w:val="clear" w:color="auto" w:fill="FFFFFF"/>
          </w:tcPr>
          <w:p w:rsidR="00887DE5" w:rsidRPr="006B5E0E" w:rsidRDefault="00887DE5" w:rsidP="006B5E0E">
            <w:pPr>
              <w:widowControl w:val="0"/>
              <w:autoSpaceDE w:val="0"/>
              <w:autoSpaceDN w:val="0"/>
              <w:adjustRightInd w:val="0"/>
              <w:spacing w:after="0" w:line="480" w:lineRule="auto"/>
              <w:ind w:left="60" w:right="60"/>
              <w:jc w:val="right"/>
              <w:rPr>
                <w:rFonts w:ascii="Times New Roman" w:eastAsiaTheme="minorEastAsia" w:hAnsi="Times New Roman"/>
                <w:color w:val="000000"/>
                <w:sz w:val="24"/>
                <w:szCs w:val="24"/>
                <w:lang w:eastAsia="en-US"/>
              </w:rPr>
            </w:pPr>
            <w:r w:rsidRPr="006B5E0E">
              <w:rPr>
                <w:rFonts w:ascii="Times New Roman" w:eastAsiaTheme="minorEastAsia" w:hAnsi="Times New Roman"/>
                <w:color w:val="000000"/>
                <w:sz w:val="24"/>
                <w:szCs w:val="24"/>
                <w:lang w:eastAsia="en-US"/>
              </w:rPr>
              <w:t>5.373</w:t>
            </w:r>
          </w:p>
        </w:tc>
        <w:tc>
          <w:tcPr>
            <w:tcW w:w="1073" w:type="dxa"/>
            <w:tcBorders>
              <w:top w:val="nil"/>
              <w:bottom w:val="nil"/>
            </w:tcBorders>
            <w:shd w:val="clear" w:color="auto" w:fill="FFFFFF"/>
          </w:tcPr>
          <w:p w:rsidR="00887DE5" w:rsidRPr="006B5E0E" w:rsidRDefault="00887DE5" w:rsidP="006B5E0E">
            <w:pPr>
              <w:widowControl w:val="0"/>
              <w:autoSpaceDE w:val="0"/>
              <w:autoSpaceDN w:val="0"/>
              <w:adjustRightInd w:val="0"/>
              <w:spacing w:after="0" w:line="480" w:lineRule="auto"/>
              <w:ind w:left="60" w:right="60"/>
              <w:jc w:val="right"/>
              <w:rPr>
                <w:rFonts w:ascii="Times New Roman" w:eastAsiaTheme="minorEastAsia" w:hAnsi="Times New Roman"/>
                <w:color w:val="000000"/>
                <w:sz w:val="24"/>
                <w:szCs w:val="24"/>
                <w:lang w:eastAsia="en-US"/>
              </w:rPr>
            </w:pPr>
            <w:r w:rsidRPr="006B5E0E">
              <w:rPr>
                <w:rFonts w:ascii="Times New Roman" w:eastAsiaTheme="minorEastAsia" w:hAnsi="Times New Roman"/>
                <w:color w:val="000000"/>
                <w:sz w:val="24"/>
                <w:szCs w:val="24"/>
                <w:lang w:eastAsia="en-US"/>
              </w:rPr>
              <w:t>3</w:t>
            </w:r>
          </w:p>
        </w:tc>
        <w:tc>
          <w:tcPr>
            <w:tcW w:w="1581" w:type="dxa"/>
            <w:tcBorders>
              <w:top w:val="nil"/>
              <w:bottom w:val="nil"/>
            </w:tcBorders>
            <w:shd w:val="clear" w:color="auto" w:fill="FFFFFF"/>
          </w:tcPr>
          <w:p w:rsidR="00887DE5" w:rsidRPr="006B5E0E" w:rsidRDefault="00887DE5" w:rsidP="006B5E0E">
            <w:pPr>
              <w:widowControl w:val="0"/>
              <w:autoSpaceDE w:val="0"/>
              <w:autoSpaceDN w:val="0"/>
              <w:adjustRightInd w:val="0"/>
              <w:spacing w:after="0" w:line="480" w:lineRule="auto"/>
              <w:ind w:left="60" w:right="60"/>
              <w:jc w:val="right"/>
              <w:rPr>
                <w:rFonts w:ascii="Times New Roman" w:eastAsiaTheme="minorEastAsia" w:hAnsi="Times New Roman"/>
                <w:color w:val="000000"/>
                <w:sz w:val="24"/>
                <w:szCs w:val="24"/>
                <w:lang w:eastAsia="en-US"/>
              </w:rPr>
            </w:pPr>
            <w:r w:rsidRPr="006B5E0E">
              <w:rPr>
                <w:rFonts w:ascii="Times New Roman" w:eastAsiaTheme="minorEastAsia" w:hAnsi="Times New Roman"/>
                <w:color w:val="000000"/>
                <w:sz w:val="24"/>
                <w:szCs w:val="24"/>
                <w:lang w:eastAsia="en-US"/>
              </w:rPr>
              <w:t>1.791</w:t>
            </w:r>
          </w:p>
        </w:tc>
        <w:tc>
          <w:tcPr>
            <w:tcW w:w="771" w:type="dxa"/>
            <w:tcBorders>
              <w:top w:val="nil"/>
              <w:bottom w:val="nil"/>
            </w:tcBorders>
            <w:shd w:val="clear" w:color="auto" w:fill="FFFFFF"/>
          </w:tcPr>
          <w:p w:rsidR="00887DE5" w:rsidRPr="006B5E0E" w:rsidRDefault="00887DE5" w:rsidP="006B5E0E">
            <w:pPr>
              <w:widowControl w:val="0"/>
              <w:autoSpaceDE w:val="0"/>
              <w:autoSpaceDN w:val="0"/>
              <w:adjustRightInd w:val="0"/>
              <w:spacing w:after="0" w:line="480" w:lineRule="auto"/>
              <w:ind w:left="60" w:right="60"/>
              <w:jc w:val="right"/>
              <w:rPr>
                <w:rFonts w:ascii="Times New Roman" w:eastAsiaTheme="minorEastAsia" w:hAnsi="Times New Roman"/>
                <w:color w:val="000000"/>
                <w:sz w:val="24"/>
                <w:szCs w:val="24"/>
                <w:lang w:eastAsia="en-US"/>
              </w:rPr>
            </w:pPr>
            <w:r w:rsidRPr="006B5E0E">
              <w:rPr>
                <w:rFonts w:ascii="Times New Roman" w:eastAsiaTheme="minorEastAsia" w:hAnsi="Times New Roman"/>
                <w:color w:val="000000"/>
                <w:sz w:val="24"/>
                <w:szCs w:val="24"/>
                <w:lang w:eastAsia="en-US"/>
              </w:rPr>
              <w:t>1.013</w:t>
            </w:r>
          </w:p>
        </w:tc>
        <w:tc>
          <w:tcPr>
            <w:tcW w:w="941" w:type="dxa"/>
            <w:tcBorders>
              <w:top w:val="nil"/>
              <w:bottom w:val="nil"/>
              <w:right w:val="single" w:sz="16" w:space="0" w:color="000000"/>
            </w:tcBorders>
            <w:shd w:val="clear" w:color="auto" w:fill="FFFFFF"/>
          </w:tcPr>
          <w:p w:rsidR="00887DE5" w:rsidRPr="006B5E0E" w:rsidRDefault="00887DE5" w:rsidP="006B5E0E">
            <w:pPr>
              <w:widowControl w:val="0"/>
              <w:autoSpaceDE w:val="0"/>
              <w:autoSpaceDN w:val="0"/>
              <w:adjustRightInd w:val="0"/>
              <w:spacing w:after="0" w:line="480" w:lineRule="auto"/>
              <w:ind w:left="60" w:right="60"/>
              <w:jc w:val="right"/>
              <w:rPr>
                <w:rFonts w:ascii="Times New Roman" w:eastAsiaTheme="minorEastAsia" w:hAnsi="Times New Roman"/>
                <w:color w:val="000000"/>
                <w:sz w:val="24"/>
                <w:szCs w:val="24"/>
                <w:lang w:eastAsia="en-US"/>
              </w:rPr>
            </w:pPr>
            <w:r w:rsidRPr="006B5E0E">
              <w:rPr>
                <w:rFonts w:ascii="Times New Roman" w:eastAsiaTheme="minorEastAsia" w:hAnsi="Times New Roman"/>
                <w:color w:val="000000"/>
                <w:sz w:val="24"/>
                <w:szCs w:val="24"/>
                <w:lang w:eastAsia="en-US"/>
              </w:rPr>
              <w:t>.388</w:t>
            </w:r>
          </w:p>
        </w:tc>
      </w:tr>
      <w:tr w:rsidR="00887DE5" w:rsidRPr="006B5E0E" w:rsidTr="00773316">
        <w:trPr>
          <w:cantSplit/>
        </w:trPr>
        <w:tc>
          <w:tcPr>
            <w:tcW w:w="3014" w:type="dxa"/>
            <w:vMerge/>
            <w:tcBorders>
              <w:top w:val="nil"/>
              <w:left w:val="single" w:sz="16" w:space="0" w:color="000000"/>
              <w:bottom w:val="nil"/>
              <w:right w:val="nil"/>
            </w:tcBorders>
            <w:shd w:val="clear" w:color="auto" w:fill="FFFFFF"/>
            <w:vAlign w:val="center"/>
          </w:tcPr>
          <w:p w:rsidR="00887DE5" w:rsidRPr="006B5E0E" w:rsidRDefault="00887DE5" w:rsidP="006B5E0E">
            <w:pPr>
              <w:widowControl w:val="0"/>
              <w:autoSpaceDE w:val="0"/>
              <w:autoSpaceDN w:val="0"/>
              <w:adjustRightInd w:val="0"/>
              <w:spacing w:after="0" w:line="480" w:lineRule="auto"/>
              <w:rPr>
                <w:rFonts w:ascii="Times New Roman" w:eastAsiaTheme="minorEastAsia" w:hAnsi="Times New Roman"/>
                <w:color w:val="000000"/>
                <w:sz w:val="24"/>
                <w:szCs w:val="24"/>
                <w:lang w:eastAsia="en-US"/>
              </w:rPr>
            </w:pPr>
          </w:p>
        </w:tc>
        <w:tc>
          <w:tcPr>
            <w:tcW w:w="1337" w:type="dxa"/>
            <w:tcBorders>
              <w:top w:val="nil"/>
              <w:left w:val="nil"/>
              <w:bottom w:val="nil"/>
              <w:right w:val="single" w:sz="16" w:space="0" w:color="000000"/>
            </w:tcBorders>
            <w:shd w:val="clear" w:color="auto" w:fill="FFFFFF"/>
            <w:vAlign w:val="center"/>
          </w:tcPr>
          <w:p w:rsidR="00887DE5" w:rsidRPr="006B5E0E" w:rsidRDefault="00887DE5" w:rsidP="006B5E0E">
            <w:pPr>
              <w:widowControl w:val="0"/>
              <w:autoSpaceDE w:val="0"/>
              <w:autoSpaceDN w:val="0"/>
              <w:adjustRightInd w:val="0"/>
              <w:spacing w:after="0" w:line="480" w:lineRule="auto"/>
              <w:ind w:left="60" w:right="60"/>
              <w:rPr>
                <w:rFonts w:ascii="Times New Roman" w:eastAsiaTheme="minorEastAsia" w:hAnsi="Times New Roman"/>
                <w:color w:val="000000"/>
                <w:sz w:val="24"/>
                <w:szCs w:val="24"/>
                <w:lang w:eastAsia="en-US"/>
              </w:rPr>
            </w:pPr>
            <w:r w:rsidRPr="006B5E0E">
              <w:rPr>
                <w:rFonts w:ascii="Times New Roman" w:eastAsiaTheme="minorEastAsia" w:hAnsi="Times New Roman"/>
                <w:color w:val="000000"/>
                <w:sz w:val="24"/>
                <w:szCs w:val="24"/>
                <w:lang w:eastAsia="en-US"/>
              </w:rPr>
              <w:t>Within Groups</w:t>
            </w:r>
          </w:p>
        </w:tc>
        <w:tc>
          <w:tcPr>
            <w:tcW w:w="1562" w:type="dxa"/>
            <w:tcBorders>
              <w:top w:val="nil"/>
              <w:left w:val="single" w:sz="16" w:space="0" w:color="000000"/>
              <w:bottom w:val="nil"/>
            </w:tcBorders>
            <w:shd w:val="clear" w:color="auto" w:fill="FFFFFF"/>
          </w:tcPr>
          <w:p w:rsidR="00887DE5" w:rsidRPr="006B5E0E" w:rsidRDefault="00887DE5" w:rsidP="006B5E0E">
            <w:pPr>
              <w:widowControl w:val="0"/>
              <w:autoSpaceDE w:val="0"/>
              <w:autoSpaceDN w:val="0"/>
              <w:adjustRightInd w:val="0"/>
              <w:spacing w:after="0" w:line="480" w:lineRule="auto"/>
              <w:ind w:left="60" w:right="60"/>
              <w:jc w:val="right"/>
              <w:rPr>
                <w:rFonts w:ascii="Times New Roman" w:eastAsiaTheme="minorEastAsia" w:hAnsi="Times New Roman"/>
                <w:color w:val="000000"/>
                <w:sz w:val="24"/>
                <w:szCs w:val="24"/>
                <w:lang w:eastAsia="en-US"/>
              </w:rPr>
            </w:pPr>
            <w:r w:rsidRPr="006B5E0E">
              <w:rPr>
                <w:rFonts w:ascii="Times New Roman" w:eastAsiaTheme="minorEastAsia" w:hAnsi="Times New Roman"/>
                <w:color w:val="000000"/>
                <w:sz w:val="24"/>
                <w:szCs w:val="24"/>
                <w:lang w:eastAsia="en-US"/>
              </w:rPr>
              <w:t>353.608</w:t>
            </w:r>
          </w:p>
        </w:tc>
        <w:tc>
          <w:tcPr>
            <w:tcW w:w="1073" w:type="dxa"/>
            <w:tcBorders>
              <w:top w:val="nil"/>
              <w:bottom w:val="nil"/>
            </w:tcBorders>
            <w:shd w:val="clear" w:color="auto" w:fill="FFFFFF"/>
          </w:tcPr>
          <w:p w:rsidR="00887DE5" w:rsidRPr="006B5E0E" w:rsidRDefault="00887DE5" w:rsidP="006B5E0E">
            <w:pPr>
              <w:widowControl w:val="0"/>
              <w:autoSpaceDE w:val="0"/>
              <w:autoSpaceDN w:val="0"/>
              <w:adjustRightInd w:val="0"/>
              <w:spacing w:after="0" w:line="480" w:lineRule="auto"/>
              <w:ind w:left="60" w:right="60"/>
              <w:jc w:val="right"/>
              <w:rPr>
                <w:rFonts w:ascii="Times New Roman" w:eastAsiaTheme="minorEastAsia" w:hAnsi="Times New Roman"/>
                <w:color w:val="000000"/>
                <w:sz w:val="24"/>
                <w:szCs w:val="24"/>
                <w:lang w:eastAsia="en-US"/>
              </w:rPr>
            </w:pPr>
            <w:r w:rsidRPr="006B5E0E">
              <w:rPr>
                <w:rFonts w:ascii="Times New Roman" w:eastAsiaTheme="minorEastAsia" w:hAnsi="Times New Roman"/>
                <w:color w:val="000000"/>
                <w:sz w:val="24"/>
                <w:szCs w:val="24"/>
                <w:lang w:eastAsia="en-US"/>
              </w:rPr>
              <w:t>200</w:t>
            </w:r>
          </w:p>
        </w:tc>
        <w:tc>
          <w:tcPr>
            <w:tcW w:w="1581" w:type="dxa"/>
            <w:tcBorders>
              <w:top w:val="nil"/>
              <w:bottom w:val="nil"/>
            </w:tcBorders>
            <w:shd w:val="clear" w:color="auto" w:fill="FFFFFF"/>
          </w:tcPr>
          <w:p w:rsidR="00887DE5" w:rsidRPr="006B5E0E" w:rsidRDefault="00887DE5" w:rsidP="006B5E0E">
            <w:pPr>
              <w:widowControl w:val="0"/>
              <w:autoSpaceDE w:val="0"/>
              <w:autoSpaceDN w:val="0"/>
              <w:adjustRightInd w:val="0"/>
              <w:spacing w:after="0" w:line="480" w:lineRule="auto"/>
              <w:ind w:left="60" w:right="60"/>
              <w:jc w:val="right"/>
              <w:rPr>
                <w:rFonts w:ascii="Times New Roman" w:eastAsiaTheme="minorEastAsia" w:hAnsi="Times New Roman"/>
                <w:color w:val="000000"/>
                <w:sz w:val="24"/>
                <w:szCs w:val="24"/>
                <w:lang w:eastAsia="en-US"/>
              </w:rPr>
            </w:pPr>
            <w:r w:rsidRPr="006B5E0E">
              <w:rPr>
                <w:rFonts w:ascii="Times New Roman" w:eastAsiaTheme="minorEastAsia" w:hAnsi="Times New Roman"/>
                <w:color w:val="000000"/>
                <w:sz w:val="24"/>
                <w:szCs w:val="24"/>
                <w:lang w:eastAsia="en-US"/>
              </w:rPr>
              <w:t>1.768</w:t>
            </w:r>
          </w:p>
        </w:tc>
        <w:tc>
          <w:tcPr>
            <w:tcW w:w="771" w:type="dxa"/>
            <w:tcBorders>
              <w:top w:val="nil"/>
              <w:bottom w:val="nil"/>
            </w:tcBorders>
            <w:shd w:val="clear" w:color="auto" w:fill="FFFFFF"/>
          </w:tcPr>
          <w:p w:rsidR="00887DE5" w:rsidRPr="006B5E0E" w:rsidRDefault="00887DE5" w:rsidP="006B5E0E">
            <w:pPr>
              <w:widowControl w:val="0"/>
              <w:autoSpaceDE w:val="0"/>
              <w:autoSpaceDN w:val="0"/>
              <w:adjustRightInd w:val="0"/>
              <w:spacing w:after="0" w:line="480" w:lineRule="auto"/>
              <w:rPr>
                <w:rFonts w:ascii="Times New Roman" w:eastAsiaTheme="minorEastAsia" w:hAnsi="Times New Roman"/>
                <w:sz w:val="24"/>
                <w:szCs w:val="24"/>
                <w:lang w:eastAsia="en-US"/>
              </w:rPr>
            </w:pPr>
          </w:p>
        </w:tc>
        <w:tc>
          <w:tcPr>
            <w:tcW w:w="941" w:type="dxa"/>
            <w:tcBorders>
              <w:top w:val="nil"/>
              <w:bottom w:val="nil"/>
              <w:right w:val="single" w:sz="16" w:space="0" w:color="000000"/>
            </w:tcBorders>
            <w:shd w:val="clear" w:color="auto" w:fill="FFFFFF"/>
          </w:tcPr>
          <w:p w:rsidR="00887DE5" w:rsidRPr="006B5E0E" w:rsidRDefault="00887DE5" w:rsidP="006B5E0E">
            <w:pPr>
              <w:widowControl w:val="0"/>
              <w:autoSpaceDE w:val="0"/>
              <w:autoSpaceDN w:val="0"/>
              <w:adjustRightInd w:val="0"/>
              <w:spacing w:after="0" w:line="480" w:lineRule="auto"/>
              <w:rPr>
                <w:rFonts w:ascii="Times New Roman" w:eastAsiaTheme="minorEastAsia" w:hAnsi="Times New Roman"/>
                <w:sz w:val="24"/>
                <w:szCs w:val="24"/>
                <w:lang w:eastAsia="en-US"/>
              </w:rPr>
            </w:pPr>
          </w:p>
        </w:tc>
      </w:tr>
      <w:tr w:rsidR="00887DE5" w:rsidRPr="006B5E0E" w:rsidTr="00773316">
        <w:trPr>
          <w:cantSplit/>
        </w:trPr>
        <w:tc>
          <w:tcPr>
            <w:tcW w:w="3014" w:type="dxa"/>
            <w:vMerge/>
            <w:tcBorders>
              <w:top w:val="nil"/>
              <w:left w:val="single" w:sz="16" w:space="0" w:color="000000"/>
              <w:bottom w:val="nil"/>
              <w:right w:val="nil"/>
            </w:tcBorders>
            <w:shd w:val="clear" w:color="auto" w:fill="FFFFFF"/>
            <w:vAlign w:val="center"/>
          </w:tcPr>
          <w:p w:rsidR="00887DE5" w:rsidRPr="006B5E0E" w:rsidRDefault="00887DE5" w:rsidP="006B5E0E">
            <w:pPr>
              <w:widowControl w:val="0"/>
              <w:autoSpaceDE w:val="0"/>
              <w:autoSpaceDN w:val="0"/>
              <w:adjustRightInd w:val="0"/>
              <w:spacing w:after="0" w:line="480" w:lineRule="auto"/>
              <w:rPr>
                <w:rFonts w:ascii="Times New Roman" w:eastAsiaTheme="minorEastAsia" w:hAnsi="Times New Roman"/>
                <w:sz w:val="24"/>
                <w:szCs w:val="24"/>
                <w:lang w:eastAsia="en-US"/>
              </w:rPr>
            </w:pPr>
          </w:p>
        </w:tc>
        <w:tc>
          <w:tcPr>
            <w:tcW w:w="1337" w:type="dxa"/>
            <w:tcBorders>
              <w:top w:val="nil"/>
              <w:left w:val="nil"/>
              <w:bottom w:val="nil"/>
              <w:right w:val="single" w:sz="16" w:space="0" w:color="000000"/>
            </w:tcBorders>
            <w:shd w:val="clear" w:color="auto" w:fill="FFFFFF"/>
            <w:vAlign w:val="center"/>
          </w:tcPr>
          <w:p w:rsidR="00887DE5" w:rsidRPr="006B5E0E" w:rsidRDefault="00887DE5" w:rsidP="006B5E0E">
            <w:pPr>
              <w:widowControl w:val="0"/>
              <w:autoSpaceDE w:val="0"/>
              <w:autoSpaceDN w:val="0"/>
              <w:adjustRightInd w:val="0"/>
              <w:spacing w:after="0" w:line="480" w:lineRule="auto"/>
              <w:ind w:left="60" w:right="60"/>
              <w:rPr>
                <w:rFonts w:ascii="Times New Roman" w:eastAsiaTheme="minorEastAsia" w:hAnsi="Times New Roman"/>
                <w:color w:val="000000"/>
                <w:sz w:val="24"/>
                <w:szCs w:val="24"/>
                <w:lang w:eastAsia="en-US"/>
              </w:rPr>
            </w:pPr>
            <w:r w:rsidRPr="006B5E0E">
              <w:rPr>
                <w:rFonts w:ascii="Times New Roman" w:eastAsiaTheme="minorEastAsia" w:hAnsi="Times New Roman"/>
                <w:color w:val="000000"/>
                <w:sz w:val="24"/>
                <w:szCs w:val="24"/>
                <w:lang w:eastAsia="en-US"/>
              </w:rPr>
              <w:t>Total</w:t>
            </w:r>
          </w:p>
        </w:tc>
        <w:tc>
          <w:tcPr>
            <w:tcW w:w="1562" w:type="dxa"/>
            <w:tcBorders>
              <w:top w:val="nil"/>
              <w:left w:val="single" w:sz="16" w:space="0" w:color="000000"/>
              <w:bottom w:val="nil"/>
            </w:tcBorders>
            <w:shd w:val="clear" w:color="auto" w:fill="FFFFFF"/>
          </w:tcPr>
          <w:p w:rsidR="00887DE5" w:rsidRPr="006B5E0E" w:rsidRDefault="00887DE5" w:rsidP="006B5E0E">
            <w:pPr>
              <w:widowControl w:val="0"/>
              <w:autoSpaceDE w:val="0"/>
              <w:autoSpaceDN w:val="0"/>
              <w:adjustRightInd w:val="0"/>
              <w:spacing w:after="0" w:line="480" w:lineRule="auto"/>
              <w:ind w:left="60" w:right="60"/>
              <w:jc w:val="right"/>
              <w:rPr>
                <w:rFonts w:ascii="Times New Roman" w:eastAsiaTheme="minorEastAsia" w:hAnsi="Times New Roman"/>
                <w:color w:val="000000"/>
                <w:sz w:val="24"/>
                <w:szCs w:val="24"/>
                <w:lang w:eastAsia="en-US"/>
              </w:rPr>
            </w:pPr>
            <w:r w:rsidRPr="006B5E0E">
              <w:rPr>
                <w:rFonts w:ascii="Times New Roman" w:eastAsiaTheme="minorEastAsia" w:hAnsi="Times New Roman"/>
                <w:color w:val="000000"/>
                <w:sz w:val="24"/>
                <w:szCs w:val="24"/>
                <w:lang w:eastAsia="en-US"/>
              </w:rPr>
              <w:t>358.980</w:t>
            </w:r>
          </w:p>
        </w:tc>
        <w:tc>
          <w:tcPr>
            <w:tcW w:w="1073" w:type="dxa"/>
            <w:tcBorders>
              <w:top w:val="nil"/>
              <w:bottom w:val="nil"/>
            </w:tcBorders>
            <w:shd w:val="clear" w:color="auto" w:fill="FFFFFF"/>
          </w:tcPr>
          <w:p w:rsidR="00887DE5" w:rsidRPr="006B5E0E" w:rsidRDefault="00887DE5" w:rsidP="006B5E0E">
            <w:pPr>
              <w:widowControl w:val="0"/>
              <w:autoSpaceDE w:val="0"/>
              <w:autoSpaceDN w:val="0"/>
              <w:adjustRightInd w:val="0"/>
              <w:spacing w:after="0" w:line="480" w:lineRule="auto"/>
              <w:ind w:left="60" w:right="60"/>
              <w:jc w:val="right"/>
              <w:rPr>
                <w:rFonts w:ascii="Times New Roman" w:eastAsiaTheme="minorEastAsia" w:hAnsi="Times New Roman"/>
                <w:color w:val="000000"/>
                <w:sz w:val="24"/>
                <w:szCs w:val="24"/>
                <w:lang w:eastAsia="en-US"/>
              </w:rPr>
            </w:pPr>
            <w:r w:rsidRPr="006B5E0E">
              <w:rPr>
                <w:rFonts w:ascii="Times New Roman" w:eastAsiaTheme="minorEastAsia" w:hAnsi="Times New Roman"/>
                <w:color w:val="000000"/>
                <w:sz w:val="24"/>
                <w:szCs w:val="24"/>
                <w:lang w:eastAsia="en-US"/>
              </w:rPr>
              <w:t>203</w:t>
            </w:r>
          </w:p>
        </w:tc>
        <w:tc>
          <w:tcPr>
            <w:tcW w:w="1581" w:type="dxa"/>
            <w:tcBorders>
              <w:top w:val="nil"/>
              <w:bottom w:val="nil"/>
            </w:tcBorders>
            <w:shd w:val="clear" w:color="auto" w:fill="FFFFFF"/>
          </w:tcPr>
          <w:p w:rsidR="00887DE5" w:rsidRPr="006B5E0E" w:rsidRDefault="00887DE5" w:rsidP="006B5E0E">
            <w:pPr>
              <w:widowControl w:val="0"/>
              <w:autoSpaceDE w:val="0"/>
              <w:autoSpaceDN w:val="0"/>
              <w:adjustRightInd w:val="0"/>
              <w:spacing w:after="0" w:line="480" w:lineRule="auto"/>
              <w:rPr>
                <w:rFonts w:ascii="Times New Roman" w:eastAsiaTheme="minorEastAsia" w:hAnsi="Times New Roman"/>
                <w:sz w:val="24"/>
                <w:szCs w:val="24"/>
                <w:lang w:eastAsia="en-US"/>
              </w:rPr>
            </w:pPr>
          </w:p>
        </w:tc>
        <w:tc>
          <w:tcPr>
            <w:tcW w:w="771" w:type="dxa"/>
            <w:tcBorders>
              <w:top w:val="nil"/>
              <w:bottom w:val="nil"/>
            </w:tcBorders>
            <w:shd w:val="clear" w:color="auto" w:fill="FFFFFF"/>
          </w:tcPr>
          <w:p w:rsidR="00887DE5" w:rsidRPr="006B5E0E" w:rsidRDefault="00887DE5" w:rsidP="006B5E0E">
            <w:pPr>
              <w:widowControl w:val="0"/>
              <w:autoSpaceDE w:val="0"/>
              <w:autoSpaceDN w:val="0"/>
              <w:adjustRightInd w:val="0"/>
              <w:spacing w:after="0" w:line="480" w:lineRule="auto"/>
              <w:rPr>
                <w:rFonts w:ascii="Times New Roman" w:eastAsiaTheme="minorEastAsia" w:hAnsi="Times New Roman"/>
                <w:sz w:val="24"/>
                <w:szCs w:val="24"/>
                <w:lang w:eastAsia="en-US"/>
              </w:rPr>
            </w:pPr>
          </w:p>
        </w:tc>
        <w:tc>
          <w:tcPr>
            <w:tcW w:w="941" w:type="dxa"/>
            <w:tcBorders>
              <w:top w:val="nil"/>
              <w:bottom w:val="nil"/>
              <w:right w:val="single" w:sz="16" w:space="0" w:color="000000"/>
            </w:tcBorders>
            <w:shd w:val="clear" w:color="auto" w:fill="FFFFFF"/>
          </w:tcPr>
          <w:p w:rsidR="00887DE5" w:rsidRPr="006B5E0E" w:rsidRDefault="00887DE5" w:rsidP="006B5E0E">
            <w:pPr>
              <w:widowControl w:val="0"/>
              <w:autoSpaceDE w:val="0"/>
              <w:autoSpaceDN w:val="0"/>
              <w:adjustRightInd w:val="0"/>
              <w:spacing w:after="0" w:line="480" w:lineRule="auto"/>
              <w:rPr>
                <w:rFonts w:ascii="Times New Roman" w:eastAsiaTheme="minorEastAsia" w:hAnsi="Times New Roman"/>
                <w:sz w:val="24"/>
                <w:szCs w:val="24"/>
                <w:lang w:eastAsia="en-US"/>
              </w:rPr>
            </w:pPr>
          </w:p>
        </w:tc>
      </w:tr>
      <w:tr w:rsidR="00887DE5" w:rsidRPr="006B5E0E" w:rsidTr="00773316">
        <w:trPr>
          <w:cantSplit/>
        </w:trPr>
        <w:tc>
          <w:tcPr>
            <w:tcW w:w="3014" w:type="dxa"/>
            <w:vMerge w:val="restart"/>
            <w:tcBorders>
              <w:top w:val="nil"/>
              <w:left w:val="single" w:sz="16" w:space="0" w:color="000000"/>
              <w:bottom w:val="nil"/>
              <w:right w:val="nil"/>
            </w:tcBorders>
            <w:shd w:val="clear" w:color="auto" w:fill="FFFFFF"/>
            <w:vAlign w:val="center"/>
          </w:tcPr>
          <w:p w:rsidR="00887DE5" w:rsidRPr="006B5E0E" w:rsidRDefault="00887DE5" w:rsidP="006B5E0E">
            <w:pPr>
              <w:widowControl w:val="0"/>
              <w:autoSpaceDE w:val="0"/>
              <w:autoSpaceDN w:val="0"/>
              <w:adjustRightInd w:val="0"/>
              <w:spacing w:after="0" w:line="480" w:lineRule="auto"/>
              <w:ind w:left="60" w:right="60"/>
              <w:rPr>
                <w:rFonts w:ascii="Times New Roman" w:eastAsiaTheme="minorEastAsia" w:hAnsi="Times New Roman"/>
                <w:color w:val="000000"/>
                <w:sz w:val="24"/>
                <w:szCs w:val="24"/>
                <w:lang w:eastAsia="en-US"/>
              </w:rPr>
            </w:pPr>
            <w:r w:rsidRPr="006B5E0E">
              <w:rPr>
                <w:rFonts w:ascii="Times New Roman" w:eastAsiaTheme="minorEastAsia" w:hAnsi="Times New Roman"/>
                <w:color w:val="000000"/>
                <w:sz w:val="24"/>
                <w:szCs w:val="24"/>
                <w:lang w:eastAsia="en-US"/>
              </w:rPr>
              <w:t>Wealth Build (Preserve Vs Growth)</w:t>
            </w:r>
          </w:p>
        </w:tc>
        <w:tc>
          <w:tcPr>
            <w:tcW w:w="1337" w:type="dxa"/>
            <w:tcBorders>
              <w:top w:val="nil"/>
              <w:left w:val="nil"/>
              <w:bottom w:val="nil"/>
              <w:right w:val="single" w:sz="16" w:space="0" w:color="000000"/>
            </w:tcBorders>
            <w:shd w:val="clear" w:color="auto" w:fill="FFFFFF"/>
            <w:vAlign w:val="center"/>
          </w:tcPr>
          <w:p w:rsidR="00887DE5" w:rsidRPr="006B5E0E" w:rsidRDefault="00887DE5" w:rsidP="006B5E0E">
            <w:pPr>
              <w:widowControl w:val="0"/>
              <w:autoSpaceDE w:val="0"/>
              <w:autoSpaceDN w:val="0"/>
              <w:adjustRightInd w:val="0"/>
              <w:spacing w:after="0" w:line="480" w:lineRule="auto"/>
              <w:ind w:left="60" w:right="60"/>
              <w:rPr>
                <w:rFonts w:ascii="Times New Roman" w:eastAsiaTheme="minorEastAsia" w:hAnsi="Times New Roman"/>
                <w:color w:val="000000"/>
                <w:sz w:val="24"/>
                <w:szCs w:val="24"/>
                <w:lang w:eastAsia="en-US"/>
              </w:rPr>
            </w:pPr>
            <w:r w:rsidRPr="006B5E0E">
              <w:rPr>
                <w:rFonts w:ascii="Times New Roman" w:eastAsiaTheme="minorEastAsia" w:hAnsi="Times New Roman"/>
                <w:color w:val="000000"/>
                <w:sz w:val="24"/>
                <w:szCs w:val="24"/>
                <w:lang w:eastAsia="en-US"/>
              </w:rPr>
              <w:t>Between Groups</w:t>
            </w:r>
          </w:p>
        </w:tc>
        <w:tc>
          <w:tcPr>
            <w:tcW w:w="1562" w:type="dxa"/>
            <w:tcBorders>
              <w:top w:val="nil"/>
              <w:left w:val="single" w:sz="16" w:space="0" w:color="000000"/>
              <w:bottom w:val="nil"/>
            </w:tcBorders>
            <w:shd w:val="clear" w:color="auto" w:fill="FFFFFF"/>
          </w:tcPr>
          <w:p w:rsidR="00887DE5" w:rsidRPr="006B5E0E" w:rsidRDefault="00887DE5" w:rsidP="006B5E0E">
            <w:pPr>
              <w:widowControl w:val="0"/>
              <w:autoSpaceDE w:val="0"/>
              <w:autoSpaceDN w:val="0"/>
              <w:adjustRightInd w:val="0"/>
              <w:spacing w:after="0" w:line="480" w:lineRule="auto"/>
              <w:ind w:left="60" w:right="60"/>
              <w:jc w:val="right"/>
              <w:rPr>
                <w:rFonts w:ascii="Times New Roman" w:eastAsiaTheme="minorEastAsia" w:hAnsi="Times New Roman"/>
                <w:color w:val="000000"/>
                <w:sz w:val="24"/>
                <w:szCs w:val="24"/>
                <w:lang w:eastAsia="en-US"/>
              </w:rPr>
            </w:pPr>
            <w:r w:rsidRPr="006B5E0E">
              <w:rPr>
                <w:rFonts w:ascii="Times New Roman" w:eastAsiaTheme="minorEastAsia" w:hAnsi="Times New Roman"/>
                <w:color w:val="000000"/>
                <w:sz w:val="24"/>
                <w:szCs w:val="24"/>
                <w:lang w:eastAsia="en-US"/>
              </w:rPr>
              <w:t>127.779</w:t>
            </w:r>
          </w:p>
        </w:tc>
        <w:tc>
          <w:tcPr>
            <w:tcW w:w="1073" w:type="dxa"/>
            <w:tcBorders>
              <w:top w:val="nil"/>
              <w:bottom w:val="nil"/>
            </w:tcBorders>
            <w:shd w:val="clear" w:color="auto" w:fill="FFFFFF"/>
          </w:tcPr>
          <w:p w:rsidR="00887DE5" w:rsidRPr="006B5E0E" w:rsidRDefault="00887DE5" w:rsidP="006B5E0E">
            <w:pPr>
              <w:widowControl w:val="0"/>
              <w:autoSpaceDE w:val="0"/>
              <w:autoSpaceDN w:val="0"/>
              <w:adjustRightInd w:val="0"/>
              <w:spacing w:after="0" w:line="480" w:lineRule="auto"/>
              <w:ind w:left="60" w:right="60"/>
              <w:jc w:val="right"/>
              <w:rPr>
                <w:rFonts w:ascii="Times New Roman" w:eastAsiaTheme="minorEastAsia" w:hAnsi="Times New Roman"/>
                <w:color w:val="000000"/>
                <w:sz w:val="24"/>
                <w:szCs w:val="24"/>
                <w:lang w:eastAsia="en-US"/>
              </w:rPr>
            </w:pPr>
            <w:r w:rsidRPr="006B5E0E">
              <w:rPr>
                <w:rFonts w:ascii="Times New Roman" w:eastAsiaTheme="minorEastAsia" w:hAnsi="Times New Roman"/>
                <w:color w:val="000000"/>
                <w:sz w:val="24"/>
                <w:szCs w:val="24"/>
                <w:lang w:eastAsia="en-US"/>
              </w:rPr>
              <w:t>3</w:t>
            </w:r>
          </w:p>
        </w:tc>
        <w:tc>
          <w:tcPr>
            <w:tcW w:w="1581" w:type="dxa"/>
            <w:tcBorders>
              <w:top w:val="nil"/>
              <w:bottom w:val="nil"/>
            </w:tcBorders>
            <w:shd w:val="clear" w:color="auto" w:fill="FFFFFF"/>
          </w:tcPr>
          <w:p w:rsidR="00887DE5" w:rsidRPr="006B5E0E" w:rsidRDefault="00887DE5" w:rsidP="006B5E0E">
            <w:pPr>
              <w:widowControl w:val="0"/>
              <w:autoSpaceDE w:val="0"/>
              <w:autoSpaceDN w:val="0"/>
              <w:adjustRightInd w:val="0"/>
              <w:spacing w:after="0" w:line="480" w:lineRule="auto"/>
              <w:ind w:left="60" w:right="60"/>
              <w:jc w:val="right"/>
              <w:rPr>
                <w:rFonts w:ascii="Times New Roman" w:eastAsiaTheme="minorEastAsia" w:hAnsi="Times New Roman"/>
                <w:color w:val="000000"/>
                <w:sz w:val="24"/>
                <w:szCs w:val="24"/>
                <w:lang w:eastAsia="en-US"/>
              </w:rPr>
            </w:pPr>
            <w:r w:rsidRPr="006B5E0E">
              <w:rPr>
                <w:rFonts w:ascii="Times New Roman" w:eastAsiaTheme="minorEastAsia" w:hAnsi="Times New Roman"/>
                <w:color w:val="000000"/>
                <w:sz w:val="24"/>
                <w:szCs w:val="24"/>
                <w:lang w:eastAsia="en-US"/>
              </w:rPr>
              <w:t>42.593</w:t>
            </w:r>
          </w:p>
        </w:tc>
        <w:tc>
          <w:tcPr>
            <w:tcW w:w="771" w:type="dxa"/>
            <w:tcBorders>
              <w:top w:val="nil"/>
              <w:bottom w:val="nil"/>
            </w:tcBorders>
            <w:shd w:val="clear" w:color="auto" w:fill="FFFFFF"/>
          </w:tcPr>
          <w:p w:rsidR="00887DE5" w:rsidRPr="006B5E0E" w:rsidRDefault="00887DE5" w:rsidP="006B5E0E">
            <w:pPr>
              <w:widowControl w:val="0"/>
              <w:autoSpaceDE w:val="0"/>
              <w:autoSpaceDN w:val="0"/>
              <w:adjustRightInd w:val="0"/>
              <w:spacing w:after="0" w:line="480" w:lineRule="auto"/>
              <w:ind w:left="60" w:right="60"/>
              <w:jc w:val="right"/>
              <w:rPr>
                <w:rFonts w:ascii="Times New Roman" w:eastAsiaTheme="minorEastAsia" w:hAnsi="Times New Roman"/>
                <w:color w:val="000000"/>
                <w:sz w:val="24"/>
                <w:szCs w:val="24"/>
                <w:lang w:eastAsia="en-US"/>
              </w:rPr>
            </w:pPr>
            <w:r w:rsidRPr="006B5E0E">
              <w:rPr>
                <w:rFonts w:ascii="Times New Roman" w:eastAsiaTheme="minorEastAsia" w:hAnsi="Times New Roman"/>
                <w:color w:val="000000"/>
                <w:sz w:val="24"/>
                <w:szCs w:val="24"/>
                <w:lang w:eastAsia="en-US"/>
              </w:rPr>
              <w:t>27.290</w:t>
            </w:r>
          </w:p>
        </w:tc>
        <w:tc>
          <w:tcPr>
            <w:tcW w:w="941" w:type="dxa"/>
            <w:tcBorders>
              <w:top w:val="nil"/>
              <w:bottom w:val="nil"/>
              <w:right w:val="single" w:sz="16" w:space="0" w:color="000000"/>
            </w:tcBorders>
            <w:shd w:val="clear" w:color="auto" w:fill="FFFFFF"/>
          </w:tcPr>
          <w:p w:rsidR="00887DE5" w:rsidRPr="006B5E0E" w:rsidRDefault="00887DE5" w:rsidP="006B5E0E">
            <w:pPr>
              <w:widowControl w:val="0"/>
              <w:autoSpaceDE w:val="0"/>
              <w:autoSpaceDN w:val="0"/>
              <w:adjustRightInd w:val="0"/>
              <w:spacing w:after="0" w:line="480" w:lineRule="auto"/>
              <w:ind w:left="60" w:right="60"/>
              <w:jc w:val="right"/>
              <w:rPr>
                <w:rFonts w:ascii="Times New Roman" w:eastAsiaTheme="minorEastAsia" w:hAnsi="Times New Roman"/>
                <w:color w:val="000000"/>
                <w:sz w:val="24"/>
                <w:szCs w:val="24"/>
                <w:lang w:eastAsia="en-US"/>
              </w:rPr>
            </w:pPr>
            <w:r w:rsidRPr="006B5E0E">
              <w:rPr>
                <w:rFonts w:ascii="Times New Roman" w:eastAsiaTheme="minorEastAsia" w:hAnsi="Times New Roman"/>
                <w:color w:val="000000"/>
                <w:sz w:val="24"/>
                <w:szCs w:val="24"/>
                <w:lang w:eastAsia="en-US"/>
              </w:rPr>
              <w:t>.000</w:t>
            </w:r>
          </w:p>
        </w:tc>
      </w:tr>
      <w:tr w:rsidR="00887DE5" w:rsidRPr="006B5E0E" w:rsidTr="00773316">
        <w:trPr>
          <w:cantSplit/>
        </w:trPr>
        <w:tc>
          <w:tcPr>
            <w:tcW w:w="3014" w:type="dxa"/>
            <w:vMerge/>
            <w:tcBorders>
              <w:top w:val="nil"/>
              <w:left w:val="single" w:sz="16" w:space="0" w:color="000000"/>
              <w:bottom w:val="nil"/>
              <w:right w:val="nil"/>
            </w:tcBorders>
            <w:shd w:val="clear" w:color="auto" w:fill="FFFFFF"/>
            <w:vAlign w:val="center"/>
          </w:tcPr>
          <w:p w:rsidR="00887DE5" w:rsidRPr="006B5E0E" w:rsidRDefault="00887DE5" w:rsidP="006B5E0E">
            <w:pPr>
              <w:widowControl w:val="0"/>
              <w:autoSpaceDE w:val="0"/>
              <w:autoSpaceDN w:val="0"/>
              <w:adjustRightInd w:val="0"/>
              <w:spacing w:after="0" w:line="480" w:lineRule="auto"/>
              <w:rPr>
                <w:rFonts w:ascii="Times New Roman" w:eastAsiaTheme="minorEastAsia" w:hAnsi="Times New Roman"/>
                <w:color w:val="000000"/>
                <w:sz w:val="24"/>
                <w:szCs w:val="24"/>
                <w:lang w:eastAsia="en-US"/>
              </w:rPr>
            </w:pPr>
          </w:p>
        </w:tc>
        <w:tc>
          <w:tcPr>
            <w:tcW w:w="1337" w:type="dxa"/>
            <w:tcBorders>
              <w:top w:val="nil"/>
              <w:left w:val="nil"/>
              <w:bottom w:val="nil"/>
              <w:right w:val="single" w:sz="16" w:space="0" w:color="000000"/>
            </w:tcBorders>
            <w:shd w:val="clear" w:color="auto" w:fill="FFFFFF"/>
            <w:vAlign w:val="center"/>
          </w:tcPr>
          <w:p w:rsidR="00887DE5" w:rsidRPr="006B5E0E" w:rsidRDefault="00887DE5" w:rsidP="006B5E0E">
            <w:pPr>
              <w:widowControl w:val="0"/>
              <w:autoSpaceDE w:val="0"/>
              <w:autoSpaceDN w:val="0"/>
              <w:adjustRightInd w:val="0"/>
              <w:spacing w:after="0" w:line="480" w:lineRule="auto"/>
              <w:ind w:left="60" w:right="60"/>
              <w:rPr>
                <w:rFonts w:ascii="Times New Roman" w:eastAsiaTheme="minorEastAsia" w:hAnsi="Times New Roman"/>
                <w:color w:val="000000"/>
                <w:sz w:val="24"/>
                <w:szCs w:val="24"/>
                <w:lang w:eastAsia="en-US"/>
              </w:rPr>
            </w:pPr>
            <w:r w:rsidRPr="006B5E0E">
              <w:rPr>
                <w:rFonts w:ascii="Times New Roman" w:eastAsiaTheme="minorEastAsia" w:hAnsi="Times New Roman"/>
                <w:color w:val="000000"/>
                <w:sz w:val="24"/>
                <w:szCs w:val="24"/>
                <w:lang w:eastAsia="en-US"/>
              </w:rPr>
              <w:t>Within Groups</w:t>
            </w:r>
          </w:p>
        </w:tc>
        <w:tc>
          <w:tcPr>
            <w:tcW w:w="1562" w:type="dxa"/>
            <w:tcBorders>
              <w:top w:val="nil"/>
              <w:left w:val="single" w:sz="16" w:space="0" w:color="000000"/>
              <w:bottom w:val="nil"/>
            </w:tcBorders>
            <w:shd w:val="clear" w:color="auto" w:fill="FFFFFF"/>
          </w:tcPr>
          <w:p w:rsidR="00887DE5" w:rsidRPr="006B5E0E" w:rsidRDefault="00887DE5" w:rsidP="006B5E0E">
            <w:pPr>
              <w:widowControl w:val="0"/>
              <w:autoSpaceDE w:val="0"/>
              <w:autoSpaceDN w:val="0"/>
              <w:adjustRightInd w:val="0"/>
              <w:spacing w:after="0" w:line="480" w:lineRule="auto"/>
              <w:ind w:left="60" w:right="60"/>
              <w:jc w:val="right"/>
              <w:rPr>
                <w:rFonts w:ascii="Times New Roman" w:eastAsiaTheme="minorEastAsia" w:hAnsi="Times New Roman"/>
                <w:color w:val="000000"/>
                <w:sz w:val="24"/>
                <w:szCs w:val="24"/>
                <w:lang w:eastAsia="en-US"/>
              </w:rPr>
            </w:pPr>
            <w:r w:rsidRPr="006B5E0E">
              <w:rPr>
                <w:rFonts w:ascii="Times New Roman" w:eastAsiaTheme="minorEastAsia" w:hAnsi="Times New Roman"/>
                <w:color w:val="000000"/>
                <w:sz w:val="24"/>
                <w:szCs w:val="24"/>
                <w:lang w:eastAsia="en-US"/>
              </w:rPr>
              <w:t>312.157</w:t>
            </w:r>
          </w:p>
        </w:tc>
        <w:tc>
          <w:tcPr>
            <w:tcW w:w="1073" w:type="dxa"/>
            <w:tcBorders>
              <w:top w:val="nil"/>
              <w:bottom w:val="nil"/>
            </w:tcBorders>
            <w:shd w:val="clear" w:color="auto" w:fill="FFFFFF"/>
          </w:tcPr>
          <w:p w:rsidR="00887DE5" w:rsidRPr="006B5E0E" w:rsidRDefault="00887DE5" w:rsidP="006B5E0E">
            <w:pPr>
              <w:widowControl w:val="0"/>
              <w:autoSpaceDE w:val="0"/>
              <w:autoSpaceDN w:val="0"/>
              <w:adjustRightInd w:val="0"/>
              <w:spacing w:after="0" w:line="480" w:lineRule="auto"/>
              <w:ind w:left="60" w:right="60"/>
              <w:jc w:val="right"/>
              <w:rPr>
                <w:rFonts w:ascii="Times New Roman" w:eastAsiaTheme="minorEastAsia" w:hAnsi="Times New Roman"/>
                <w:color w:val="000000"/>
                <w:sz w:val="24"/>
                <w:szCs w:val="24"/>
                <w:lang w:eastAsia="en-US"/>
              </w:rPr>
            </w:pPr>
            <w:r w:rsidRPr="006B5E0E">
              <w:rPr>
                <w:rFonts w:ascii="Times New Roman" w:eastAsiaTheme="minorEastAsia" w:hAnsi="Times New Roman"/>
                <w:color w:val="000000"/>
                <w:sz w:val="24"/>
                <w:szCs w:val="24"/>
                <w:lang w:eastAsia="en-US"/>
              </w:rPr>
              <w:t>200</w:t>
            </w:r>
          </w:p>
        </w:tc>
        <w:tc>
          <w:tcPr>
            <w:tcW w:w="1581" w:type="dxa"/>
            <w:tcBorders>
              <w:top w:val="nil"/>
              <w:bottom w:val="nil"/>
            </w:tcBorders>
            <w:shd w:val="clear" w:color="auto" w:fill="FFFFFF"/>
          </w:tcPr>
          <w:p w:rsidR="00887DE5" w:rsidRPr="006B5E0E" w:rsidRDefault="00887DE5" w:rsidP="006B5E0E">
            <w:pPr>
              <w:widowControl w:val="0"/>
              <w:autoSpaceDE w:val="0"/>
              <w:autoSpaceDN w:val="0"/>
              <w:adjustRightInd w:val="0"/>
              <w:spacing w:after="0" w:line="480" w:lineRule="auto"/>
              <w:ind w:left="60" w:right="60"/>
              <w:jc w:val="right"/>
              <w:rPr>
                <w:rFonts w:ascii="Times New Roman" w:eastAsiaTheme="minorEastAsia" w:hAnsi="Times New Roman"/>
                <w:color w:val="000000"/>
                <w:sz w:val="24"/>
                <w:szCs w:val="24"/>
                <w:lang w:eastAsia="en-US"/>
              </w:rPr>
            </w:pPr>
            <w:r w:rsidRPr="006B5E0E">
              <w:rPr>
                <w:rFonts w:ascii="Times New Roman" w:eastAsiaTheme="minorEastAsia" w:hAnsi="Times New Roman"/>
                <w:color w:val="000000"/>
                <w:sz w:val="24"/>
                <w:szCs w:val="24"/>
                <w:lang w:eastAsia="en-US"/>
              </w:rPr>
              <w:t>1.561</w:t>
            </w:r>
          </w:p>
        </w:tc>
        <w:tc>
          <w:tcPr>
            <w:tcW w:w="771" w:type="dxa"/>
            <w:tcBorders>
              <w:top w:val="nil"/>
              <w:bottom w:val="nil"/>
            </w:tcBorders>
            <w:shd w:val="clear" w:color="auto" w:fill="FFFFFF"/>
          </w:tcPr>
          <w:p w:rsidR="00887DE5" w:rsidRPr="006B5E0E" w:rsidRDefault="00887DE5" w:rsidP="006B5E0E">
            <w:pPr>
              <w:widowControl w:val="0"/>
              <w:autoSpaceDE w:val="0"/>
              <w:autoSpaceDN w:val="0"/>
              <w:adjustRightInd w:val="0"/>
              <w:spacing w:after="0" w:line="480" w:lineRule="auto"/>
              <w:rPr>
                <w:rFonts w:ascii="Times New Roman" w:eastAsiaTheme="minorEastAsia" w:hAnsi="Times New Roman"/>
                <w:sz w:val="24"/>
                <w:szCs w:val="24"/>
                <w:lang w:eastAsia="en-US"/>
              </w:rPr>
            </w:pPr>
          </w:p>
        </w:tc>
        <w:tc>
          <w:tcPr>
            <w:tcW w:w="941" w:type="dxa"/>
            <w:tcBorders>
              <w:top w:val="nil"/>
              <w:bottom w:val="nil"/>
              <w:right w:val="single" w:sz="16" w:space="0" w:color="000000"/>
            </w:tcBorders>
            <w:shd w:val="clear" w:color="auto" w:fill="FFFFFF"/>
          </w:tcPr>
          <w:p w:rsidR="00887DE5" w:rsidRPr="006B5E0E" w:rsidRDefault="00887DE5" w:rsidP="006B5E0E">
            <w:pPr>
              <w:widowControl w:val="0"/>
              <w:autoSpaceDE w:val="0"/>
              <w:autoSpaceDN w:val="0"/>
              <w:adjustRightInd w:val="0"/>
              <w:spacing w:after="0" w:line="480" w:lineRule="auto"/>
              <w:rPr>
                <w:rFonts w:ascii="Times New Roman" w:eastAsiaTheme="minorEastAsia" w:hAnsi="Times New Roman"/>
                <w:sz w:val="24"/>
                <w:szCs w:val="24"/>
                <w:lang w:eastAsia="en-US"/>
              </w:rPr>
            </w:pPr>
          </w:p>
        </w:tc>
      </w:tr>
      <w:tr w:rsidR="00887DE5" w:rsidRPr="006B5E0E" w:rsidTr="00773316">
        <w:trPr>
          <w:cantSplit/>
        </w:trPr>
        <w:tc>
          <w:tcPr>
            <w:tcW w:w="3014" w:type="dxa"/>
            <w:vMerge/>
            <w:tcBorders>
              <w:top w:val="nil"/>
              <w:left w:val="single" w:sz="16" w:space="0" w:color="000000"/>
              <w:bottom w:val="nil"/>
              <w:right w:val="nil"/>
            </w:tcBorders>
            <w:shd w:val="clear" w:color="auto" w:fill="FFFFFF"/>
            <w:vAlign w:val="center"/>
          </w:tcPr>
          <w:p w:rsidR="00887DE5" w:rsidRPr="006B5E0E" w:rsidRDefault="00887DE5" w:rsidP="006B5E0E">
            <w:pPr>
              <w:widowControl w:val="0"/>
              <w:autoSpaceDE w:val="0"/>
              <w:autoSpaceDN w:val="0"/>
              <w:adjustRightInd w:val="0"/>
              <w:spacing w:after="0" w:line="480" w:lineRule="auto"/>
              <w:rPr>
                <w:rFonts w:ascii="Times New Roman" w:eastAsiaTheme="minorEastAsia" w:hAnsi="Times New Roman"/>
                <w:sz w:val="24"/>
                <w:szCs w:val="24"/>
                <w:lang w:eastAsia="en-US"/>
              </w:rPr>
            </w:pPr>
          </w:p>
        </w:tc>
        <w:tc>
          <w:tcPr>
            <w:tcW w:w="1337" w:type="dxa"/>
            <w:tcBorders>
              <w:top w:val="nil"/>
              <w:left w:val="nil"/>
              <w:bottom w:val="nil"/>
              <w:right w:val="single" w:sz="16" w:space="0" w:color="000000"/>
            </w:tcBorders>
            <w:shd w:val="clear" w:color="auto" w:fill="FFFFFF"/>
            <w:vAlign w:val="center"/>
          </w:tcPr>
          <w:p w:rsidR="00887DE5" w:rsidRPr="006B5E0E" w:rsidRDefault="00887DE5" w:rsidP="006B5E0E">
            <w:pPr>
              <w:widowControl w:val="0"/>
              <w:autoSpaceDE w:val="0"/>
              <w:autoSpaceDN w:val="0"/>
              <w:adjustRightInd w:val="0"/>
              <w:spacing w:after="0" w:line="480" w:lineRule="auto"/>
              <w:ind w:left="60" w:right="60"/>
              <w:rPr>
                <w:rFonts w:ascii="Times New Roman" w:eastAsiaTheme="minorEastAsia" w:hAnsi="Times New Roman"/>
                <w:color w:val="000000"/>
                <w:sz w:val="24"/>
                <w:szCs w:val="24"/>
                <w:lang w:eastAsia="en-US"/>
              </w:rPr>
            </w:pPr>
            <w:r w:rsidRPr="006B5E0E">
              <w:rPr>
                <w:rFonts w:ascii="Times New Roman" w:eastAsiaTheme="minorEastAsia" w:hAnsi="Times New Roman"/>
                <w:color w:val="000000"/>
                <w:sz w:val="24"/>
                <w:szCs w:val="24"/>
                <w:lang w:eastAsia="en-US"/>
              </w:rPr>
              <w:t>Total</w:t>
            </w:r>
          </w:p>
        </w:tc>
        <w:tc>
          <w:tcPr>
            <w:tcW w:w="1562" w:type="dxa"/>
            <w:tcBorders>
              <w:top w:val="nil"/>
              <w:left w:val="single" w:sz="16" w:space="0" w:color="000000"/>
              <w:bottom w:val="nil"/>
            </w:tcBorders>
            <w:shd w:val="clear" w:color="auto" w:fill="FFFFFF"/>
          </w:tcPr>
          <w:p w:rsidR="00887DE5" w:rsidRPr="006B5E0E" w:rsidRDefault="00887DE5" w:rsidP="006B5E0E">
            <w:pPr>
              <w:widowControl w:val="0"/>
              <w:autoSpaceDE w:val="0"/>
              <w:autoSpaceDN w:val="0"/>
              <w:adjustRightInd w:val="0"/>
              <w:spacing w:after="0" w:line="480" w:lineRule="auto"/>
              <w:ind w:left="60" w:right="60"/>
              <w:jc w:val="right"/>
              <w:rPr>
                <w:rFonts w:ascii="Times New Roman" w:eastAsiaTheme="minorEastAsia" w:hAnsi="Times New Roman"/>
                <w:color w:val="000000"/>
                <w:sz w:val="24"/>
                <w:szCs w:val="24"/>
                <w:lang w:eastAsia="en-US"/>
              </w:rPr>
            </w:pPr>
            <w:r w:rsidRPr="006B5E0E">
              <w:rPr>
                <w:rFonts w:ascii="Times New Roman" w:eastAsiaTheme="minorEastAsia" w:hAnsi="Times New Roman"/>
                <w:color w:val="000000"/>
                <w:sz w:val="24"/>
                <w:szCs w:val="24"/>
                <w:lang w:eastAsia="en-US"/>
              </w:rPr>
              <w:t>439.936</w:t>
            </w:r>
          </w:p>
        </w:tc>
        <w:tc>
          <w:tcPr>
            <w:tcW w:w="1073" w:type="dxa"/>
            <w:tcBorders>
              <w:top w:val="nil"/>
              <w:bottom w:val="nil"/>
            </w:tcBorders>
            <w:shd w:val="clear" w:color="auto" w:fill="FFFFFF"/>
          </w:tcPr>
          <w:p w:rsidR="00887DE5" w:rsidRPr="006B5E0E" w:rsidRDefault="00887DE5" w:rsidP="006B5E0E">
            <w:pPr>
              <w:widowControl w:val="0"/>
              <w:autoSpaceDE w:val="0"/>
              <w:autoSpaceDN w:val="0"/>
              <w:adjustRightInd w:val="0"/>
              <w:spacing w:after="0" w:line="480" w:lineRule="auto"/>
              <w:ind w:left="60" w:right="60"/>
              <w:jc w:val="right"/>
              <w:rPr>
                <w:rFonts w:ascii="Times New Roman" w:eastAsiaTheme="minorEastAsia" w:hAnsi="Times New Roman"/>
                <w:color w:val="000000"/>
                <w:sz w:val="24"/>
                <w:szCs w:val="24"/>
                <w:lang w:eastAsia="en-US"/>
              </w:rPr>
            </w:pPr>
            <w:r w:rsidRPr="006B5E0E">
              <w:rPr>
                <w:rFonts w:ascii="Times New Roman" w:eastAsiaTheme="minorEastAsia" w:hAnsi="Times New Roman"/>
                <w:color w:val="000000"/>
                <w:sz w:val="24"/>
                <w:szCs w:val="24"/>
                <w:lang w:eastAsia="en-US"/>
              </w:rPr>
              <w:t>203</w:t>
            </w:r>
          </w:p>
        </w:tc>
        <w:tc>
          <w:tcPr>
            <w:tcW w:w="1581" w:type="dxa"/>
            <w:tcBorders>
              <w:top w:val="nil"/>
              <w:bottom w:val="nil"/>
            </w:tcBorders>
            <w:shd w:val="clear" w:color="auto" w:fill="FFFFFF"/>
          </w:tcPr>
          <w:p w:rsidR="00887DE5" w:rsidRPr="006B5E0E" w:rsidRDefault="00887DE5" w:rsidP="006B5E0E">
            <w:pPr>
              <w:widowControl w:val="0"/>
              <w:autoSpaceDE w:val="0"/>
              <w:autoSpaceDN w:val="0"/>
              <w:adjustRightInd w:val="0"/>
              <w:spacing w:after="0" w:line="480" w:lineRule="auto"/>
              <w:rPr>
                <w:rFonts w:ascii="Times New Roman" w:eastAsiaTheme="minorEastAsia" w:hAnsi="Times New Roman"/>
                <w:sz w:val="24"/>
                <w:szCs w:val="24"/>
                <w:lang w:eastAsia="en-US"/>
              </w:rPr>
            </w:pPr>
          </w:p>
        </w:tc>
        <w:tc>
          <w:tcPr>
            <w:tcW w:w="771" w:type="dxa"/>
            <w:tcBorders>
              <w:top w:val="nil"/>
              <w:bottom w:val="nil"/>
            </w:tcBorders>
            <w:shd w:val="clear" w:color="auto" w:fill="FFFFFF"/>
          </w:tcPr>
          <w:p w:rsidR="00887DE5" w:rsidRPr="006B5E0E" w:rsidRDefault="00887DE5" w:rsidP="006B5E0E">
            <w:pPr>
              <w:widowControl w:val="0"/>
              <w:autoSpaceDE w:val="0"/>
              <w:autoSpaceDN w:val="0"/>
              <w:adjustRightInd w:val="0"/>
              <w:spacing w:after="0" w:line="480" w:lineRule="auto"/>
              <w:rPr>
                <w:rFonts w:ascii="Times New Roman" w:eastAsiaTheme="minorEastAsia" w:hAnsi="Times New Roman"/>
                <w:sz w:val="24"/>
                <w:szCs w:val="24"/>
                <w:lang w:eastAsia="en-US"/>
              </w:rPr>
            </w:pPr>
          </w:p>
        </w:tc>
        <w:tc>
          <w:tcPr>
            <w:tcW w:w="941" w:type="dxa"/>
            <w:tcBorders>
              <w:top w:val="nil"/>
              <w:bottom w:val="nil"/>
              <w:right w:val="single" w:sz="16" w:space="0" w:color="000000"/>
            </w:tcBorders>
            <w:shd w:val="clear" w:color="auto" w:fill="FFFFFF"/>
          </w:tcPr>
          <w:p w:rsidR="00887DE5" w:rsidRPr="006B5E0E" w:rsidRDefault="00887DE5" w:rsidP="006B5E0E">
            <w:pPr>
              <w:widowControl w:val="0"/>
              <w:autoSpaceDE w:val="0"/>
              <w:autoSpaceDN w:val="0"/>
              <w:adjustRightInd w:val="0"/>
              <w:spacing w:after="0" w:line="480" w:lineRule="auto"/>
              <w:rPr>
                <w:rFonts w:ascii="Times New Roman" w:eastAsiaTheme="minorEastAsia" w:hAnsi="Times New Roman"/>
                <w:sz w:val="24"/>
                <w:szCs w:val="24"/>
                <w:lang w:eastAsia="en-US"/>
              </w:rPr>
            </w:pPr>
          </w:p>
        </w:tc>
      </w:tr>
      <w:tr w:rsidR="00887DE5" w:rsidRPr="006B5E0E" w:rsidTr="00773316">
        <w:trPr>
          <w:cantSplit/>
        </w:trPr>
        <w:tc>
          <w:tcPr>
            <w:tcW w:w="3014" w:type="dxa"/>
            <w:vMerge w:val="restart"/>
            <w:tcBorders>
              <w:top w:val="nil"/>
              <w:left w:val="single" w:sz="16" w:space="0" w:color="000000"/>
              <w:bottom w:val="nil"/>
              <w:right w:val="nil"/>
            </w:tcBorders>
            <w:shd w:val="clear" w:color="auto" w:fill="FFFFFF"/>
            <w:vAlign w:val="center"/>
          </w:tcPr>
          <w:p w:rsidR="00887DE5" w:rsidRPr="006B5E0E" w:rsidRDefault="00887DE5" w:rsidP="006B5E0E">
            <w:pPr>
              <w:widowControl w:val="0"/>
              <w:autoSpaceDE w:val="0"/>
              <w:autoSpaceDN w:val="0"/>
              <w:adjustRightInd w:val="0"/>
              <w:spacing w:after="0" w:line="480" w:lineRule="auto"/>
              <w:ind w:left="60" w:right="60"/>
              <w:rPr>
                <w:rFonts w:ascii="Times New Roman" w:eastAsiaTheme="minorEastAsia" w:hAnsi="Times New Roman"/>
                <w:color w:val="000000"/>
                <w:sz w:val="24"/>
                <w:szCs w:val="24"/>
                <w:lang w:eastAsia="en-US"/>
              </w:rPr>
            </w:pPr>
            <w:r w:rsidRPr="006B5E0E">
              <w:rPr>
                <w:rFonts w:ascii="Times New Roman" w:eastAsiaTheme="minorEastAsia" w:hAnsi="Times New Roman"/>
                <w:color w:val="000000"/>
                <w:sz w:val="24"/>
                <w:szCs w:val="24"/>
                <w:lang w:eastAsia="en-US"/>
              </w:rPr>
              <w:t>Attitude towards risks</w:t>
            </w:r>
          </w:p>
        </w:tc>
        <w:tc>
          <w:tcPr>
            <w:tcW w:w="1337" w:type="dxa"/>
            <w:tcBorders>
              <w:top w:val="nil"/>
              <w:left w:val="nil"/>
              <w:bottom w:val="nil"/>
              <w:right w:val="single" w:sz="16" w:space="0" w:color="000000"/>
            </w:tcBorders>
            <w:shd w:val="clear" w:color="auto" w:fill="FFFFFF"/>
            <w:vAlign w:val="center"/>
          </w:tcPr>
          <w:p w:rsidR="00887DE5" w:rsidRPr="006B5E0E" w:rsidRDefault="00887DE5" w:rsidP="006B5E0E">
            <w:pPr>
              <w:widowControl w:val="0"/>
              <w:autoSpaceDE w:val="0"/>
              <w:autoSpaceDN w:val="0"/>
              <w:adjustRightInd w:val="0"/>
              <w:spacing w:after="0" w:line="480" w:lineRule="auto"/>
              <w:ind w:left="60" w:right="60"/>
              <w:rPr>
                <w:rFonts w:ascii="Times New Roman" w:eastAsiaTheme="minorEastAsia" w:hAnsi="Times New Roman"/>
                <w:color w:val="000000"/>
                <w:sz w:val="24"/>
                <w:szCs w:val="24"/>
                <w:lang w:eastAsia="en-US"/>
              </w:rPr>
            </w:pPr>
            <w:r w:rsidRPr="006B5E0E">
              <w:rPr>
                <w:rFonts w:ascii="Times New Roman" w:eastAsiaTheme="minorEastAsia" w:hAnsi="Times New Roman"/>
                <w:color w:val="000000"/>
                <w:sz w:val="24"/>
                <w:szCs w:val="24"/>
                <w:lang w:eastAsia="en-US"/>
              </w:rPr>
              <w:t>Between Groups</w:t>
            </w:r>
          </w:p>
        </w:tc>
        <w:tc>
          <w:tcPr>
            <w:tcW w:w="1562" w:type="dxa"/>
            <w:tcBorders>
              <w:top w:val="nil"/>
              <w:left w:val="single" w:sz="16" w:space="0" w:color="000000"/>
              <w:bottom w:val="nil"/>
            </w:tcBorders>
            <w:shd w:val="clear" w:color="auto" w:fill="FFFFFF"/>
          </w:tcPr>
          <w:p w:rsidR="00887DE5" w:rsidRPr="006B5E0E" w:rsidRDefault="00887DE5" w:rsidP="006B5E0E">
            <w:pPr>
              <w:widowControl w:val="0"/>
              <w:autoSpaceDE w:val="0"/>
              <w:autoSpaceDN w:val="0"/>
              <w:adjustRightInd w:val="0"/>
              <w:spacing w:after="0" w:line="480" w:lineRule="auto"/>
              <w:ind w:left="60" w:right="60"/>
              <w:jc w:val="right"/>
              <w:rPr>
                <w:rFonts w:ascii="Times New Roman" w:eastAsiaTheme="minorEastAsia" w:hAnsi="Times New Roman"/>
                <w:color w:val="000000"/>
                <w:sz w:val="24"/>
                <w:szCs w:val="24"/>
                <w:lang w:eastAsia="en-US"/>
              </w:rPr>
            </w:pPr>
            <w:r w:rsidRPr="006B5E0E">
              <w:rPr>
                <w:rFonts w:ascii="Times New Roman" w:eastAsiaTheme="minorEastAsia" w:hAnsi="Times New Roman"/>
                <w:color w:val="000000"/>
                <w:sz w:val="24"/>
                <w:szCs w:val="24"/>
                <w:lang w:eastAsia="en-US"/>
              </w:rPr>
              <w:t>71.804</w:t>
            </w:r>
          </w:p>
        </w:tc>
        <w:tc>
          <w:tcPr>
            <w:tcW w:w="1073" w:type="dxa"/>
            <w:tcBorders>
              <w:top w:val="nil"/>
              <w:bottom w:val="nil"/>
            </w:tcBorders>
            <w:shd w:val="clear" w:color="auto" w:fill="FFFFFF"/>
          </w:tcPr>
          <w:p w:rsidR="00887DE5" w:rsidRPr="006B5E0E" w:rsidRDefault="00887DE5" w:rsidP="006B5E0E">
            <w:pPr>
              <w:widowControl w:val="0"/>
              <w:autoSpaceDE w:val="0"/>
              <w:autoSpaceDN w:val="0"/>
              <w:adjustRightInd w:val="0"/>
              <w:spacing w:after="0" w:line="480" w:lineRule="auto"/>
              <w:ind w:left="60" w:right="60"/>
              <w:jc w:val="right"/>
              <w:rPr>
                <w:rFonts w:ascii="Times New Roman" w:eastAsiaTheme="minorEastAsia" w:hAnsi="Times New Roman"/>
                <w:color w:val="000000"/>
                <w:sz w:val="24"/>
                <w:szCs w:val="24"/>
                <w:lang w:eastAsia="en-US"/>
              </w:rPr>
            </w:pPr>
            <w:r w:rsidRPr="006B5E0E">
              <w:rPr>
                <w:rFonts w:ascii="Times New Roman" w:eastAsiaTheme="minorEastAsia" w:hAnsi="Times New Roman"/>
                <w:color w:val="000000"/>
                <w:sz w:val="24"/>
                <w:szCs w:val="24"/>
                <w:lang w:eastAsia="en-US"/>
              </w:rPr>
              <w:t>3</w:t>
            </w:r>
          </w:p>
        </w:tc>
        <w:tc>
          <w:tcPr>
            <w:tcW w:w="1581" w:type="dxa"/>
            <w:tcBorders>
              <w:top w:val="nil"/>
              <w:bottom w:val="nil"/>
            </w:tcBorders>
            <w:shd w:val="clear" w:color="auto" w:fill="FFFFFF"/>
          </w:tcPr>
          <w:p w:rsidR="00887DE5" w:rsidRPr="006B5E0E" w:rsidRDefault="00887DE5" w:rsidP="006B5E0E">
            <w:pPr>
              <w:widowControl w:val="0"/>
              <w:autoSpaceDE w:val="0"/>
              <w:autoSpaceDN w:val="0"/>
              <w:adjustRightInd w:val="0"/>
              <w:spacing w:after="0" w:line="480" w:lineRule="auto"/>
              <w:ind w:left="60" w:right="60"/>
              <w:jc w:val="right"/>
              <w:rPr>
                <w:rFonts w:ascii="Times New Roman" w:eastAsiaTheme="minorEastAsia" w:hAnsi="Times New Roman"/>
                <w:color w:val="000000"/>
                <w:sz w:val="24"/>
                <w:szCs w:val="24"/>
                <w:lang w:eastAsia="en-US"/>
              </w:rPr>
            </w:pPr>
            <w:r w:rsidRPr="006B5E0E">
              <w:rPr>
                <w:rFonts w:ascii="Times New Roman" w:eastAsiaTheme="minorEastAsia" w:hAnsi="Times New Roman"/>
                <w:color w:val="000000"/>
                <w:sz w:val="24"/>
                <w:szCs w:val="24"/>
                <w:lang w:eastAsia="en-US"/>
              </w:rPr>
              <w:t>23.935</w:t>
            </w:r>
          </w:p>
        </w:tc>
        <w:tc>
          <w:tcPr>
            <w:tcW w:w="771" w:type="dxa"/>
            <w:tcBorders>
              <w:top w:val="nil"/>
              <w:bottom w:val="nil"/>
            </w:tcBorders>
            <w:shd w:val="clear" w:color="auto" w:fill="FFFFFF"/>
          </w:tcPr>
          <w:p w:rsidR="00887DE5" w:rsidRPr="006B5E0E" w:rsidRDefault="00887DE5" w:rsidP="006B5E0E">
            <w:pPr>
              <w:widowControl w:val="0"/>
              <w:autoSpaceDE w:val="0"/>
              <w:autoSpaceDN w:val="0"/>
              <w:adjustRightInd w:val="0"/>
              <w:spacing w:after="0" w:line="480" w:lineRule="auto"/>
              <w:ind w:left="60" w:right="60"/>
              <w:jc w:val="right"/>
              <w:rPr>
                <w:rFonts w:ascii="Times New Roman" w:eastAsiaTheme="minorEastAsia" w:hAnsi="Times New Roman"/>
                <w:color w:val="000000"/>
                <w:sz w:val="24"/>
                <w:szCs w:val="24"/>
                <w:lang w:eastAsia="en-US"/>
              </w:rPr>
            </w:pPr>
            <w:r w:rsidRPr="006B5E0E">
              <w:rPr>
                <w:rFonts w:ascii="Times New Roman" w:eastAsiaTheme="minorEastAsia" w:hAnsi="Times New Roman"/>
                <w:color w:val="000000"/>
                <w:sz w:val="24"/>
                <w:szCs w:val="24"/>
                <w:lang w:eastAsia="en-US"/>
              </w:rPr>
              <w:t>15.822</w:t>
            </w:r>
          </w:p>
        </w:tc>
        <w:tc>
          <w:tcPr>
            <w:tcW w:w="941" w:type="dxa"/>
            <w:tcBorders>
              <w:top w:val="nil"/>
              <w:bottom w:val="nil"/>
              <w:right w:val="single" w:sz="16" w:space="0" w:color="000000"/>
            </w:tcBorders>
            <w:shd w:val="clear" w:color="auto" w:fill="FFFFFF"/>
          </w:tcPr>
          <w:p w:rsidR="00887DE5" w:rsidRPr="006B5E0E" w:rsidRDefault="00887DE5" w:rsidP="006B5E0E">
            <w:pPr>
              <w:widowControl w:val="0"/>
              <w:autoSpaceDE w:val="0"/>
              <w:autoSpaceDN w:val="0"/>
              <w:adjustRightInd w:val="0"/>
              <w:spacing w:after="0" w:line="480" w:lineRule="auto"/>
              <w:ind w:left="60" w:right="60"/>
              <w:jc w:val="right"/>
              <w:rPr>
                <w:rFonts w:ascii="Times New Roman" w:eastAsiaTheme="minorEastAsia" w:hAnsi="Times New Roman"/>
                <w:color w:val="000000"/>
                <w:sz w:val="24"/>
                <w:szCs w:val="24"/>
                <w:lang w:eastAsia="en-US"/>
              </w:rPr>
            </w:pPr>
            <w:r w:rsidRPr="006B5E0E">
              <w:rPr>
                <w:rFonts w:ascii="Times New Roman" w:eastAsiaTheme="minorEastAsia" w:hAnsi="Times New Roman"/>
                <w:color w:val="000000"/>
                <w:sz w:val="24"/>
                <w:szCs w:val="24"/>
                <w:lang w:eastAsia="en-US"/>
              </w:rPr>
              <w:t>.000</w:t>
            </w:r>
          </w:p>
        </w:tc>
      </w:tr>
      <w:tr w:rsidR="00887DE5" w:rsidRPr="006B5E0E" w:rsidTr="00773316">
        <w:trPr>
          <w:cantSplit/>
        </w:trPr>
        <w:tc>
          <w:tcPr>
            <w:tcW w:w="3014" w:type="dxa"/>
            <w:vMerge/>
            <w:tcBorders>
              <w:top w:val="nil"/>
              <w:left w:val="single" w:sz="16" w:space="0" w:color="000000"/>
              <w:bottom w:val="nil"/>
              <w:right w:val="nil"/>
            </w:tcBorders>
            <w:shd w:val="clear" w:color="auto" w:fill="FFFFFF"/>
            <w:vAlign w:val="center"/>
          </w:tcPr>
          <w:p w:rsidR="00887DE5" w:rsidRPr="006B5E0E" w:rsidRDefault="00887DE5" w:rsidP="006B5E0E">
            <w:pPr>
              <w:widowControl w:val="0"/>
              <w:autoSpaceDE w:val="0"/>
              <w:autoSpaceDN w:val="0"/>
              <w:adjustRightInd w:val="0"/>
              <w:spacing w:after="0" w:line="480" w:lineRule="auto"/>
              <w:rPr>
                <w:rFonts w:ascii="Times New Roman" w:eastAsiaTheme="minorEastAsia" w:hAnsi="Times New Roman"/>
                <w:color w:val="000000"/>
                <w:sz w:val="24"/>
                <w:szCs w:val="24"/>
                <w:lang w:eastAsia="en-US"/>
              </w:rPr>
            </w:pPr>
          </w:p>
        </w:tc>
        <w:tc>
          <w:tcPr>
            <w:tcW w:w="1337" w:type="dxa"/>
            <w:tcBorders>
              <w:top w:val="nil"/>
              <w:left w:val="nil"/>
              <w:bottom w:val="nil"/>
              <w:right w:val="single" w:sz="16" w:space="0" w:color="000000"/>
            </w:tcBorders>
            <w:shd w:val="clear" w:color="auto" w:fill="FFFFFF"/>
            <w:vAlign w:val="center"/>
          </w:tcPr>
          <w:p w:rsidR="00887DE5" w:rsidRPr="006B5E0E" w:rsidRDefault="00887DE5" w:rsidP="006B5E0E">
            <w:pPr>
              <w:widowControl w:val="0"/>
              <w:autoSpaceDE w:val="0"/>
              <w:autoSpaceDN w:val="0"/>
              <w:adjustRightInd w:val="0"/>
              <w:spacing w:after="0" w:line="480" w:lineRule="auto"/>
              <w:ind w:left="60" w:right="60"/>
              <w:rPr>
                <w:rFonts w:ascii="Times New Roman" w:eastAsiaTheme="minorEastAsia" w:hAnsi="Times New Roman"/>
                <w:color w:val="000000"/>
                <w:sz w:val="24"/>
                <w:szCs w:val="24"/>
                <w:lang w:eastAsia="en-US"/>
              </w:rPr>
            </w:pPr>
            <w:r w:rsidRPr="006B5E0E">
              <w:rPr>
                <w:rFonts w:ascii="Times New Roman" w:eastAsiaTheme="minorEastAsia" w:hAnsi="Times New Roman"/>
                <w:color w:val="000000"/>
                <w:sz w:val="24"/>
                <w:szCs w:val="24"/>
                <w:lang w:eastAsia="en-US"/>
              </w:rPr>
              <w:t>Within Groups</w:t>
            </w:r>
          </w:p>
        </w:tc>
        <w:tc>
          <w:tcPr>
            <w:tcW w:w="1562" w:type="dxa"/>
            <w:tcBorders>
              <w:top w:val="nil"/>
              <w:left w:val="single" w:sz="16" w:space="0" w:color="000000"/>
              <w:bottom w:val="nil"/>
            </w:tcBorders>
            <w:shd w:val="clear" w:color="auto" w:fill="FFFFFF"/>
          </w:tcPr>
          <w:p w:rsidR="00887DE5" w:rsidRPr="006B5E0E" w:rsidRDefault="00887DE5" w:rsidP="006B5E0E">
            <w:pPr>
              <w:widowControl w:val="0"/>
              <w:autoSpaceDE w:val="0"/>
              <w:autoSpaceDN w:val="0"/>
              <w:adjustRightInd w:val="0"/>
              <w:spacing w:after="0" w:line="480" w:lineRule="auto"/>
              <w:ind w:left="60" w:right="60"/>
              <w:jc w:val="right"/>
              <w:rPr>
                <w:rFonts w:ascii="Times New Roman" w:eastAsiaTheme="minorEastAsia" w:hAnsi="Times New Roman"/>
                <w:color w:val="000000"/>
                <w:sz w:val="24"/>
                <w:szCs w:val="24"/>
                <w:lang w:eastAsia="en-US"/>
              </w:rPr>
            </w:pPr>
            <w:r w:rsidRPr="006B5E0E">
              <w:rPr>
                <w:rFonts w:ascii="Times New Roman" w:eastAsiaTheme="minorEastAsia" w:hAnsi="Times New Roman"/>
                <w:color w:val="000000"/>
                <w:sz w:val="24"/>
                <w:szCs w:val="24"/>
                <w:lang w:eastAsia="en-US"/>
              </w:rPr>
              <w:t>302.549</w:t>
            </w:r>
          </w:p>
        </w:tc>
        <w:tc>
          <w:tcPr>
            <w:tcW w:w="1073" w:type="dxa"/>
            <w:tcBorders>
              <w:top w:val="nil"/>
              <w:bottom w:val="nil"/>
            </w:tcBorders>
            <w:shd w:val="clear" w:color="auto" w:fill="FFFFFF"/>
          </w:tcPr>
          <w:p w:rsidR="00887DE5" w:rsidRPr="006B5E0E" w:rsidRDefault="00887DE5" w:rsidP="006B5E0E">
            <w:pPr>
              <w:widowControl w:val="0"/>
              <w:autoSpaceDE w:val="0"/>
              <w:autoSpaceDN w:val="0"/>
              <w:adjustRightInd w:val="0"/>
              <w:spacing w:after="0" w:line="480" w:lineRule="auto"/>
              <w:ind w:left="60" w:right="60"/>
              <w:jc w:val="right"/>
              <w:rPr>
                <w:rFonts w:ascii="Times New Roman" w:eastAsiaTheme="minorEastAsia" w:hAnsi="Times New Roman"/>
                <w:color w:val="000000"/>
                <w:sz w:val="24"/>
                <w:szCs w:val="24"/>
                <w:lang w:eastAsia="en-US"/>
              </w:rPr>
            </w:pPr>
            <w:r w:rsidRPr="006B5E0E">
              <w:rPr>
                <w:rFonts w:ascii="Times New Roman" w:eastAsiaTheme="minorEastAsia" w:hAnsi="Times New Roman"/>
                <w:color w:val="000000"/>
                <w:sz w:val="24"/>
                <w:szCs w:val="24"/>
                <w:lang w:eastAsia="en-US"/>
              </w:rPr>
              <w:t>200</w:t>
            </w:r>
          </w:p>
        </w:tc>
        <w:tc>
          <w:tcPr>
            <w:tcW w:w="1581" w:type="dxa"/>
            <w:tcBorders>
              <w:top w:val="nil"/>
              <w:bottom w:val="nil"/>
            </w:tcBorders>
            <w:shd w:val="clear" w:color="auto" w:fill="FFFFFF"/>
          </w:tcPr>
          <w:p w:rsidR="00887DE5" w:rsidRPr="006B5E0E" w:rsidRDefault="00887DE5" w:rsidP="006B5E0E">
            <w:pPr>
              <w:widowControl w:val="0"/>
              <w:autoSpaceDE w:val="0"/>
              <w:autoSpaceDN w:val="0"/>
              <w:adjustRightInd w:val="0"/>
              <w:spacing w:after="0" w:line="480" w:lineRule="auto"/>
              <w:ind w:left="60" w:right="60"/>
              <w:jc w:val="right"/>
              <w:rPr>
                <w:rFonts w:ascii="Times New Roman" w:eastAsiaTheme="minorEastAsia" w:hAnsi="Times New Roman"/>
                <w:color w:val="000000"/>
                <w:sz w:val="24"/>
                <w:szCs w:val="24"/>
                <w:lang w:eastAsia="en-US"/>
              </w:rPr>
            </w:pPr>
            <w:r w:rsidRPr="006B5E0E">
              <w:rPr>
                <w:rFonts w:ascii="Times New Roman" w:eastAsiaTheme="minorEastAsia" w:hAnsi="Times New Roman"/>
                <w:color w:val="000000"/>
                <w:sz w:val="24"/>
                <w:szCs w:val="24"/>
                <w:lang w:eastAsia="en-US"/>
              </w:rPr>
              <w:t>1.513</w:t>
            </w:r>
          </w:p>
        </w:tc>
        <w:tc>
          <w:tcPr>
            <w:tcW w:w="771" w:type="dxa"/>
            <w:tcBorders>
              <w:top w:val="nil"/>
              <w:bottom w:val="nil"/>
            </w:tcBorders>
            <w:shd w:val="clear" w:color="auto" w:fill="FFFFFF"/>
          </w:tcPr>
          <w:p w:rsidR="00887DE5" w:rsidRPr="006B5E0E" w:rsidRDefault="00887DE5" w:rsidP="006B5E0E">
            <w:pPr>
              <w:widowControl w:val="0"/>
              <w:autoSpaceDE w:val="0"/>
              <w:autoSpaceDN w:val="0"/>
              <w:adjustRightInd w:val="0"/>
              <w:spacing w:after="0" w:line="480" w:lineRule="auto"/>
              <w:rPr>
                <w:rFonts w:ascii="Times New Roman" w:eastAsiaTheme="minorEastAsia" w:hAnsi="Times New Roman"/>
                <w:sz w:val="24"/>
                <w:szCs w:val="24"/>
                <w:lang w:eastAsia="en-US"/>
              </w:rPr>
            </w:pPr>
          </w:p>
        </w:tc>
        <w:tc>
          <w:tcPr>
            <w:tcW w:w="941" w:type="dxa"/>
            <w:tcBorders>
              <w:top w:val="nil"/>
              <w:bottom w:val="nil"/>
              <w:right w:val="single" w:sz="16" w:space="0" w:color="000000"/>
            </w:tcBorders>
            <w:shd w:val="clear" w:color="auto" w:fill="FFFFFF"/>
          </w:tcPr>
          <w:p w:rsidR="00887DE5" w:rsidRPr="006B5E0E" w:rsidRDefault="00887DE5" w:rsidP="006B5E0E">
            <w:pPr>
              <w:widowControl w:val="0"/>
              <w:autoSpaceDE w:val="0"/>
              <w:autoSpaceDN w:val="0"/>
              <w:adjustRightInd w:val="0"/>
              <w:spacing w:after="0" w:line="480" w:lineRule="auto"/>
              <w:rPr>
                <w:rFonts w:ascii="Times New Roman" w:eastAsiaTheme="minorEastAsia" w:hAnsi="Times New Roman"/>
                <w:sz w:val="24"/>
                <w:szCs w:val="24"/>
                <w:lang w:eastAsia="en-US"/>
              </w:rPr>
            </w:pPr>
          </w:p>
        </w:tc>
      </w:tr>
      <w:tr w:rsidR="00887DE5" w:rsidRPr="006B5E0E" w:rsidTr="00773316">
        <w:trPr>
          <w:cantSplit/>
        </w:trPr>
        <w:tc>
          <w:tcPr>
            <w:tcW w:w="3014" w:type="dxa"/>
            <w:vMerge/>
            <w:tcBorders>
              <w:top w:val="nil"/>
              <w:left w:val="single" w:sz="16" w:space="0" w:color="000000"/>
              <w:bottom w:val="nil"/>
              <w:right w:val="nil"/>
            </w:tcBorders>
            <w:shd w:val="clear" w:color="auto" w:fill="FFFFFF"/>
            <w:vAlign w:val="center"/>
          </w:tcPr>
          <w:p w:rsidR="00887DE5" w:rsidRPr="006B5E0E" w:rsidRDefault="00887DE5" w:rsidP="006B5E0E">
            <w:pPr>
              <w:widowControl w:val="0"/>
              <w:autoSpaceDE w:val="0"/>
              <w:autoSpaceDN w:val="0"/>
              <w:adjustRightInd w:val="0"/>
              <w:spacing w:after="0" w:line="480" w:lineRule="auto"/>
              <w:rPr>
                <w:rFonts w:ascii="Times New Roman" w:eastAsiaTheme="minorEastAsia" w:hAnsi="Times New Roman"/>
                <w:sz w:val="24"/>
                <w:szCs w:val="24"/>
                <w:lang w:eastAsia="en-US"/>
              </w:rPr>
            </w:pPr>
          </w:p>
        </w:tc>
        <w:tc>
          <w:tcPr>
            <w:tcW w:w="1337" w:type="dxa"/>
            <w:tcBorders>
              <w:top w:val="nil"/>
              <w:left w:val="nil"/>
              <w:bottom w:val="nil"/>
              <w:right w:val="single" w:sz="16" w:space="0" w:color="000000"/>
            </w:tcBorders>
            <w:shd w:val="clear" w:color="auto" w:fill="FFFFFF"/>
            <w:vAlign w:val="center"/>
          </w:tcPr>
          <w:p w:rsidR="00887DE5" w:rsidRPr="006B5E0E" w:rsidRDefault="00887DE5" w:rsidP="006B5E0E">
            <w:pPr>
              <w:widowControl w:val="0"/>
              <w:autoSpaceDE w:val="0"/>
              <w:autoSpaceDN w:val="0"/>
              <w:adjustRightInd w:val="0"/>
              <w:spacing w:after="0" w:line="480" w:lineRule="auto"/>
              <w:ind w:left="60" w:right="60"/>
              <w:rPr>
                <w:rFonts w:ascii="Times New Roman" w:eastAsiaTheme="minorEastAsia" w:hAnsi="Times New Roman"/>
                <w:color w:val="000000"/>
                <w:sz w:val="24"/>
                <w:szCs w:val="24"/>
                <w:lang w:eastAsia="en-US"/>
              </w:rPr>
            </w:pPr>
            <w:r w:rsidRPr="006B5E0E">
              <w:rPr>
                <w:rFonts w:ascii="Times New Roman" w:eastAsiaTheme="minorEastAsia" w:hAnsi="Times New Roman"/>
                <w:color w:val="000000"/>
                <w:sz w:val="24"/>
                <w:szCs w:val="24"/>
                <w:lang w:eastAsia="en-US"/>
              </w:rPr>
              <w:t>Total</w:t>
            </w:r>
          </w:p>
        </w:tc>
        <w:tc>
          <w:tcPr>
            <w:tcW w:w="1562" w:type="dxa"/>
            <w:tcBorders>
              <w:top w:val="nil"/>
              <w:left w:val="single" w:sz="16" w:space="0" w:color="000000"/>
              <w:bottom w:val="nil"/>
            </w:tcBorders>
            <w:shd w:val="clear" w:color="auto" w:fill="FFFFFF"/>
          </w:tcPr>
          <w:p w:rsidR="00887DE5" w:rsidRPr="006B5E0E" w:rsidRDefault="00887DE5" w:rsidP="006B5E0E">
            <w:pPr>
              <w:widowControl w:val="0"/>
              <w:autoSpaceDE w:val="0"/>
              <w:autoSpaceDN w:val="0"/>
              <w:adjustRightInd w:val="0"/>
              <w:spacing w:after="0" w:line="480" w:lineRule="auto"/>
              <w:ind w:left="60" w:right="60"/>
              <w:jc w:val="right"/>
              <w:rPr>
                <w:rFonts w:ascii="Times New Roman" w:eastAsiaTheme="minorEastAsia" w:hAnsi="Times New Roman"/>
                <w:color w:val="000000"/>
                <w:sz w:val="24"/>
                <w:szCs w:val="24"/>
                <w:lang w:eastAsia="en-US"/>
              </w:rPr>
            </w:pPr>
            <w:r w:rsidRPr="006B5E0E">
              <w:rPr>
                <w:rFonts w:ascii="Times New Roman" w:eastAsiaTheme="minorEastAsia" w:hAnsi="Times New Roman"/>
                <w:color w:val="000000"/>
                <w:sz w:val="24"/>
                <w:szCs w:val="24"/>
                <w:lang w:eastAsia="en-US"/>
              </w:rPr>
              <w:t>374.353</w:t>
            </w:r>
          </w:p>
        </w:tc>
        <w:tc>
          <w:tcPr>
            <w:tcW w:w="1073" w:type="dxa"/>
            <w:tcBorders>
              <w:top w:val="nil"/>
              <w:bottom w:val="nil"/>
            </w:tcBorders>
            <w:shd w:val="clear" w:color="auto" w:fill="FFFFFF"/>
          </w:tcPr>
          <w:p w:rsidR="00887DE5" w:rsidRPr="006B5E0E" w:rsidRDefault="00887DE5" w:rsidP="006B5E0E">
            <w:pPr>
              <w:widowControl w:val="0"/>
              <w:autoSpaceDE w:val="0"/>
              <w:autoSpaceDN w:val="0"/>
              <w:adjustRightInd w:val="0"/>
              <w:spacing w:after="0" w:line="480" w:lineRule="auto"/>
              <w:ind w:left="60" w:right="60"/>
              <w:jc w:val="right"/>
              <w:rPr>
                <w:rFonts w:ascii="Times New Roman" w:eastAsiaTheme="minorEastAsia" w:hAnsi="Times New Roman"/>
                <w:color w:val="000000"/>
                <w:sz w:val="24"/>
                <w:szCs w:val="24"/>
                <w:lang w:eastAsia="en-US"/>
              </w:rPr>
            </w:pPr>
            <w:r w:rsidRPr="006B5E0E">
              <w:rPr>
                <w:rFonts w:ascii="Times New Roman" w:eastAsiaTheme="minorEastAsia" w:hAnsi="Times New Roman"/>
                <w:color w:val="000000"/>
                <w:sz w:val="24"/>
                <w:szCs w:val="24"/>
                <w:lang w:eastAsia="en-US"/>
              </w:rPr>
              <w:t>203</w:t>
            </w:r>
          </w:p>
        </w:tc>
        <w:tc>
          <w:tcPr>
            <w:tcW w:w="1581" w:type="dxa"/>
            <w:tcBorders>
              <w:top w:val="nil"/>
              <w:bottom w:val="nil"/>
            </w:tcBorders>
            <w:shd w:val="clear" w:color="auto" w:fill="FFFFFF"/>
          </w:tcPr>
          <w:p w:rsidR="00887DE5" w:rsidRPr="006B5E0E" w:rsidRDefault="00887DE5" w:rsidP="006B5E0E">
            <w:pPr>
              <w:widowControl w:val="0"/>
              <w:autoSpaceDE w:val="0"/>
              <w:autoSpaceDN w:val="0"/>
              <w:adjustRightInd w:val="0"/>
              <w:spacing w:after="0" w:line="480" w:lineRule="auto"/>
              <w:rPr>
                <w:rFonts w:ascii="Times New Roman" w:eastAsiaTheme="minorEastAsia" w:hAnsi="Times New Roman"/>
                <w:sz w:val="24"/>
                <w:szCs w:val="24"/>
                <w:lang w:eastAsia="en-US"/>
              </w:rPr>
            </w:pPr>
          </w:p>
        </w:tc>
        <w:tc>
          <w:tcPr>
            <w:tcW w:w="771" w:type="dxa"/>
            <w:tcBorders>
              <w:top w:val="nil"/>
              <w:bottom w:val="nil"/>
            </w:tcBorders>
            <w:shd w:val="clear" w:color="auto" w:fill="FFFFFF"/>
          </w:tcPr>
          <w:p w:rsidR="00887DE5" w:rsidRPr="006B5E0E" w:rsidRDefault="00887DE5" w:rsidP="006B5E0E">
            <w:pPr>
              <w:widowControl w:val="0"/>
              <w:autoSpaceDE w:val="0"/>
              <w:autoSpaceDN w:val="0"/>
              <w:adjustRightInd w:val="0"/>
              <w:spacing w:after="0" w:line="480" w:lineRule="auto"/>
              <w:rPr>
                <w:rFonts w:ascii="Times New Roman" w:eastAsiaTheme="minorEastAsia" w:hAnsi="Times New Roman"/>
                <w:sz w:val="24"/>
                <w:szCs w:val="24"/>
                <w:lang w:eastAsia="en-US"/>
              </w:rPr>
            </w:pPr>
          </w:p>
        </w:tc>
        <w:tc>
          <w:tcPr>
            <w:tcW w:w="941" w:type="dxa"/>
            <w:tcBorders>
              <w:top w:val="nil"/>
              <w:bottom w:val="nil"/>
              <w:right w:val="single" w:sz="16" w:space="0" w:color="000000"/>
            </w:tcBorders>
            <w:shd w:val="clear" w:color="auto" w:fill="FFFFFF"/>
          </w:tcPr>
          <w:p w:rsidR="00887DE5" w:rsidRPr="006B5E0E" w:rsidRDefault="00887DE5" w:rsidP="006B5E0E">
            <w:pPr>
              <w:widowControl w:val="0"/>
              <w:autoSpaceDE w:val="0"/>
              <w:autoSpaceDN w:val="0"/>
              <w:adjustRightInd w:val="0"/>
              <w:spacing w:after="0" w:line="480" w:lineRule="auto"/>
              <w:rPr>
                <w:rFonts w:ascii="Times New Roman" w:eastAsiaTheme="minorEastAsia" w:hAnsi="Times New Roman"/>
                <w:sz w:val="24"/>
                <w:szCs w:val="24"/>
                <w:lang w:eastAsia="en-US"/>
              </w:rPr>
            </w:pPr>
          </w:p>
        </w:tc>
      </w:tr>
      <w:tr w:rsidR="00887DE5" w:rsidRPr="006B5E0E" w:rsidTr="00773316">
        <w:trPr>
          <w:cantSplit/>
        </w:trPr>
        <w:tc>
          <w:tcPr>
            <w:tcW w:w="3014" w:type="dxa"/>
            <w:vMerge w:val="restart"/>
            <w:tcBorders>
              <w:top w:val="nil"/>
              <w:left w:val="single" w:sz="16" w:space="0" w:color="000000"/>
              <w:bottom w:val="nil"/>
              <w:right w:val="nil"/>
            </w:tcBorders>
            <w:shd w:val="clear" w:color="auto" w:fill="FFFFFF"/>
            <w:vAlign w:val="center"/>
          </w:tcPr>
          <w:p w:rsidR="00887DE5" w:rsidRPr="006B5E0E" w:rsidRDefault="00887DE5" w:rsidP="006B5E0E">
            <w:pPr>
              <w:widowControl w:val="0"/>
              <w:autoSpaceDE w:val="0"/>
              <w:autoSpaceDN w:val="0"/>
              <w:adjustRightInd w:val="0"/>
              <w:spacing w:after="0" w:line="480" w:lineRule="auto"/>
              <w:ind w:left="60" w:right="60"/>
              <w:rPr>
                <w:rFonts w:ascii="Times New Roman" w:eastAsiaTheme="minorEastAsia" w:hAnsi="Times New Roman"/>
                <w:color w:val="000000"/>
                <w:sz w:val="24"/>
                <w:szCs w:val="24"/>
                <w:lang w:eastAsia="en-US"/>
              </w:rPr>
            </w:pPr>
            <w:r w:rsidRPr="006B5E0E">
              <w:rPr>
                <w:rFonts w:ascii="Times New Roman" w:eastAsiaTheme="minorEastAsia" w:hAnsi="Times New Roman"/>
                <w:color w:val="000000"/>
                <w:sz w:val="24"/>
                <w:szCs w:val="24"/>
                <w:lang w:eastAsia="en-US"/>
              </w:rPr>
              <w:t>Use of novel instruments</w:t>
            </w:r>
          </w:p>
        </w:tc>
        <w:tc>
          <w:tcPr>
            <w:tcW w:w="1337" w:type="dxa"/>
            <w:tcBorders>
              <w:top w:val="nil"/>
              <w:left w:val="nil"/>
              <w:bottom w:val="nil"/>
              <w:right w:val="single" w:sz="16" w:space="0" w:color="000000"/>
            </w:tcBorders>
            <w:shd w:val="clear" w:color="auto" w:fill="FFFFFF"/>
            <w:vAlign w:val="center"/>
          </w:tcPr>
          <w:p w:rsidR="00887DE5" w:rsidRPr="006B5E0E" w:rsidRDefault="00887DE5" w:rsidP="006B5E0E">
            <w:pPr>
              <w:widowControl w:val="0"/>
              <w:autoSpaceDE w:val="0"/>
              <w:autoSpaceDN w:val="0"/>
              <w:adjustRightInd w:val="0"/>
              <w:spacing w:after="0" w:line="480" w:lineRule="auto"/>
              <w:ind w:left="60" w:right="60"/>
              <w:rPr>
                <w:rFonts w:ascii="Times New Roman" w:eastAsiaTheme="minorEastAsia" w:hAnsi="Times New Roman"/>
                <w:color w:val="000000"/>
                <w:sz w:val="24"/>
                <w:szCs w:val="24"/>
                <w:lang w:eastAsia="en-US"/>
              </w:rPr>
            </w:pPr>
            <w:r w:rsidRPr="006B5E0E">
              <w:rPr>
                <w:rFonts w:ascii="Times New Roman" w:eastAsiaTheme="minorEastAsia" w:hAnsi="Times New Roman"/>
                <w:color w:val="000000"/>
                <w:sz w:val="24"/>
                <w:szCs w:val="24"/>
                <w:lang w:eastAsia="en-US"/>
              </w:rPr>
              <w:t>Between Groups</w:t>
            </w:r>
          </w:p>
        </w:tc>
        <w:tc>
          <w:tcPr>
            <w:tcW w:w="1562" w:type="dxa"/>
            <w:tcBorders>
              <w:top w:val="nil"/>
              <w:left w:val="single" w:sz="16" w:space="0" w:color="000000"/>
              <w:bottom w:val="nil"/>
            </w:tcBorders>
            <w:shd w:val="clear" w:color="auto" w:fill="FFFFFF"/>
          </w:tcPr>
          <w:p w:rsidR="00887DE5" w:rsidRPr="006B5E0E" w:rsidRDefault="00887DE5" w:rsidP="006B5E0E">
            <w:pPr>
              <w:widowControl w:val="0"/>
              <w:autoSpaceDE w:val="0"/>
              <w:autoSpaceDN w:val="0"/>
              <w:adjustRightInd w:val="0"/>
              <w:spacing w:after="0" w:line="480" w:lineRule="auto"/>
              <w:ind w:left="60" w:right="60"/>
              <w:jc w:val="right"/>
              <w:rPr>
                <w:rFonts w:ascii="Times New Roman" w:eastAsiaTheme="minorEastAsia" w:hAnsi="Times New Roman"/>
                <w:color w:val="000000"/>
                <w:sz w:val="24"/>
                <w:szCs w:val="24"/>
                <w:lang w:eastAsia="en-US"/>
              </w:rPr>
            </w:pPr>
            <w:r w:rsidRPr="006B5E0E">
              <w:rPr>
                <w:rFonts w:ascii="Times New Roman" w:eastAsiaTheme="minorEastAsia" w:hAnsi="Times New Roman"/>
                <w:color w:val="000000"/>
                <w:sz w:val="24"/>
                <w:szCs w:val="24"/>
                <w:lang w:eastAsia="en-US"/>
              </w:rPr>
              <w:t>60.877</w:t>
            </w:r>
          </w:p>
        </w:tc>
        <w:tc>
          <w:tcPr>
            <w:tcW w:w="1073" w:type="dxa"/>
            <w:tcBorders>
              <w:top w:val="nil"/>
              <w:bottom w:val="nil"/>
            </w:tcBorders>
            <w:shd w:val="clear" w:color="auto" w:fill="FFFFFF"/>
          </w:tcPr>
          <w:p w:rsidR="00887DE5" w:rsidRPr="006B5E0E" w:rsidRDefault="00887DE5" w:rsidP="006B5E0E">
            <w:pPr>
              <w:widowControl w:val="0"/>
              <w:autoSpaceDE w:val="0"/>
              <w:autoSpaceDN w:val="0"/>
              <w:adjustRightInd w:val="0"/>
              <w:spacing w:after="0" w:line="480" w:lineRule="auto"/>
              <w:ind w:left="60" w:right="60"/>
              <w:jc w:val="right"/>
              <w:rPr>
                <w:rFonts w:ascii="Times New Roman" w:eastAsiaTheme="minorEastAsia" w:hAnsi="Times New Roman"/>
                <w:color w:val="000000"/>
                <w:sz w:val="24"/>
                <w:szCs w:val="24"/>
                <w:lang w:eastAsia="en-US"/>
              </w:rPr>
            </w:pPr>
            <w:r w:rsidRPr="006B5E0E">
              <w:rPr>
                <w:rFonts w:ascii="Times New Roman" w:eastAsiaTheme="minorEastAsia" w:hAnsi="Times New Roman"/>
                <w:color w:val="000000"/>
                <w:sz w:val="24"/>
                <w:szCs w:val="24"/>
                <w:lang w:eastAsia="en-US"/>
              </w:rPr>
              <w:t>3</w:t>
            </w:r>
          </w:p>
        </w:tc>
        <w:tc>
          <w:tcPr>
            <w:tcW w:w="1581" w:type="dxa"/>
            <w:tcBorders>
              <w:top w:val="nil"/>
              <w:bottom w:val="nil"/>
            </w:tcBorders>
            <w:shd w:val="clear" w:color="auto" w:fill="FFFFFF"/>
          </w:tcPr>
          <w:p w:rsidR="00887DE5" w:rsidRPr="006B5E0E" w:rsidRDefault="00887DE5" w:rsidP="006B5E0E">
            <w:pPr>
              <w:widowControl w:val="0"/>
              <w:autoSpaceDE w:val="0"/>
              <w:autoSpaceDN w:val="0"/>
              <w:adjustRightInd w:val="0"/>
              <w:spacing w:after="0" w:line="480" w:lineRule="auto"/>
              <w:ind w:left="60" w:right="60"/>
              <w:jc w:val="right"/>
              <w:rPr>
                <w:rFonts w:ascii="Times New Roman" w:eastAsiaTheme="minorEastAsia" w:hAnsi="Times New Roman"/>
                <w:color w:val="000000"/>
                <w:sz w:val="24"/>
                <w:szCs w:val="24"/>
                <w:lang w:eastAsia="en-US"/>
              </w:rPr>
            </w:pPr>
            <w:r w:rsidRPr="006B5E0E">
              <w:rPr>
                <w:rFonts w:ascii="Times New Roman" w:eastAsiaTheme="minorEastAsia" w:hAnsi="Times New Roman"/>
                <w:color w:val="000000"/>
                <w:sz w:val="24"/>
                <w:szCs w:val="24"/>
                <w:lang w:eastAsia="en-US"/>
              </w:rPr>
              <w:t>20.292</w:t>
            </w:r>
          </w:p>
        </w:tc>
        <w:tc>
          <w:tcPr>
            <w:tcW w:w="771" w:type="dxa"/>
            <w:tcBorders>
              <w:top w:val="nil"/>
              <w:bottom w:val="nil"/>
            </w:tcBorders>
            <w:shd w:val="clear" w:color="auto" w:fill="FFFFFF"/>
          </w:tcPr>
          <w:p w:rsidR="00887DE5" w:rsidRPr="006B5E0E" w:rsidRDefault="00887DE5" w:rsidP="006B5E0E">
            <w:pPr>
              <w:widowControl w:val="0"/>
              <w:autoSpaceDE w:val="0"/>
              <w:autoSpaceDN w:val="0"/>
              <w:adjustRightInd w:val="0"/>
              <w:spacing w:after="0" w:line="480" w:lineRule="auto"/>
              <w:ind w:left="60" w:right="60"/>
              <w:jc w:val="right"/>
              <w:rPr>
                <w:rFonts w:ascii="Times New Roman" w:eastAsiaTheme="minorEastAsia" w:hAnsi="Times New Roman"/>
                <w:color w:val="000000"/>
                <w:sz w:val="24"/>
                <w:szCs w:val="24"/>
                <w:lang w:eastAsia="en-US"/>
              </w:rPr>
            </w:pPr>
            <w:r w:rsidRPr="006B5E0E">
              <w:rPr>
                <w:rFonts w:ascii="Times New Roman" w:eastAsiaTheme="minorEastAsia" w:hAnsi="Times New Roman"/>
                <w:color w:val="000000"/>
                <w:sz w:val="24"/>
                <w:szCs w:val="24"/>
                <w:lang w:eastAsia="en-US"/>
              </w:rPr>
              <w:t>12.505</w:t>
            </w:r>
          </w:p>
        </w:tc>
        <w:tc>
          <w:tcPr>
            <w:tcW w:w="941" w:type="dxa"/>
            <w:tcBorders>
              <w:top w:val="nil"/>
              <w:bottom w:val="nil"/>
              <w:right w:val="single" w:sz="16" w:space="0" w:color="000000"/>
            </w:tcBorders>
            <w:shd w:val="clear" w:color="auto" w:fill="FFFFFF"/>
          </w:tcPr>
          <w:p w:rsidR="00887DE5" w:rsidRPr="006B5E0E" w:rsidRDefault="00887DE5" w:rsidP="006B5E0E">
            <w:pPr>
              <w:widowControl w:val="0"/>
              <w:autoSpaceDE w:val="0"/>
              <w:autoSpaceDN w:val="0"/>
              <w:adjustRightInd w:val="0"/>
              <w:spacing w:after="0" w:line="480" w:lineRule="auto"/>
              <w:ind w:left="60" w:right="60"/>
              <w:jc w:val="right"/>
              <w:rPr>
                <w:rFonts w:ascii="Times New Roman" w:eastAsiaTheme="minorEastAsia" w:hAnsi="Times New Roman"/>
                <w:color w:val="000000"/>
                <w:sz w:val="24"/>
                <w:szCs w:val="24"/>
                <w:lang w:eastAsia="en-US"/>
              </w:rPr>
            </w:pPr>
            <w:r w:rsidRPr="006B5E0E">
              <w:rPr>
                <w:rFonts w:ascii="Times New Roman" w:eastAsiaTheme="minorEastAsia" w:hAnsi="Times New Roman"/>
                <w:color w:val="000000"/>
                <w:sz w:val="24"/>
                <w:szCs w:val="24"/>
                <w:lang w:eastAsia="en-US"/>
              </w:rPr>
              <w:t>.000</w:t>
            </w:r>
          </w:p>
        </w:tc>
      </w:tr>
      <w:tr w:rsidR="00887DE5" w:rsidRPr="006B5E0E" w:rsidTr="00773316">
        <w:trPr>
          <w:cantSplit/>
        </w:trPr>
        <w:tc>
          <w:tcPr>
            <w:tcW w:w="3014" w:type="dxa"/>
            <w:vMerge/>
            <w:tcBorders>
              <w:top w:val="nil"/>
              <w:left w:val="single" w:sz="16" w:space="0" w:color="000000"/>
              <w:bottom w:val="nil"/>
              <w:right w:val="nil"/>
            </w:tcBorders>
            <w:shd w:val="clear" w:color="auto" w:fill="FFFFFF"/>
            <w:vAlign w:val="center"/>
          </w:tcPr>
          <w:p w:rsidR="00887DE5" w:rsidRPr="006B5E0E" w:rsidRDefault="00887DE5" w:rsidP="006B5E0E">
            <w:pPr>
              <w:widowControl w:val="0"/>
              <w:autoSpaceDE w:val="0"/>
              <w:autoSpaceDN w:val="0"/>
              <w:adjustRightInd w:val="0"/>
              <w:spacing w:after="0" w:line="480" w:lineRule="auto"/>
              <w:rPr>
                <w:rFonts w:ascii="Times New Roman" w:eastAsiaTheme="minorEastAsia" w:hAnsi="Times New Roman"/>
                <w:color w:val="000000"/>
                <w:sz w:val="24"/>
                <w:szCs w:val="24"/>
                <w:lang w:eastAsia="en-US"/>
              </w:rPr>
            </w:pPr>
          </w:p>
        </w:tc>
        <w:tc>
          <w:tcPr>
            <w:tcW w:w="1337" w:type="dxa"/>
            <w:tcBorders>
              <w:top w:val="nil"/>
              <w:left w:val="nil"/>
              <w:bottom w:val="nil"/>
              <w:right w:val="single" w:sz="16" w:space="0" w:color="000000"/>
            </w:tcBorders>
            <w:shd w:val="clear" w:color="auto" w:fill="FFFFFF"/>
            <w:vAlign w:val="center"/>
          </w:tcPr>
          <w:p w:rsidR="00887DE5" w:rsidRPr="006B5E0E" w:rsidRDefault="00887DE5" w:rsidP="006B5E0E">
            <w:pPr>
              <w:widowControl w:val="0"/>
              <w:autoSpaceDE w:val="0"/>
              <w:autoSpaceDN w:val="0"/>
              <w:adjustRightInd w:val="0"/>
              <w:spacing w:after="0" w:line="480" w:lineRule="auto"/>
              <w:ind w:left="60" w:right="60"/>
              <w:rPr>
                <w:rFonts w:ascii="Times New Roman" w:eastAsiaTheme="minorEastAsia" w:hAnsi="Times New Roman"/>
                <w:color w:val="000000"/>
                <w:sz w:val="24"/>
                <w:szCs w:val="24"/>
                <w:lang w:eastAsia="en-US"/>
              </w:rPr>
            </w:pPr>
            <w:r w:rsidRPr="006B5E0E">
              <w:rPr>
                <w:rFonts w:ascii="Times New Roman" w:eastAsiaTheme="minorEastAsia" w:hAnsi="Times New Roman"/>
                <w:color w:val="000000"/>
                <w:sz w:val="24"/>
                <w:szCs w:val="24"/>
                <w:lang w:eastAsia="en-US"/>
              </w:rPr>
              <w:t>Within Groups</w:t>
            </w:r>
          </w:p>
        </w:tc>
        <w:tc>
          <w:tcPr>
            <w:tcW w:w="1562" w:type="dxa"/>
            <w:tcBorders>
              <w:top w:val="nil"/>
              <w:left w:val="single" w:sz="16" w:space="0" w:color="000000"/>
              <w:bottom w:val="nil"/>
            </w:tcBorders>
            <w:shd w:val="clear" w:color="auto" w:fill="FFFFFF"/>
          </w:tcPr>
          <w:p w:rsidR="00887DE5" w:rsidRPr="006B5E0E" w:rsidRDefault="00887DE5" w:rsidP="006B5E0E">
            <w:pPr>
              <w:widowControl w:val="0"/>
              <w:autoSpaceDE w:val="0"/>
              <w:autoSpaceDN w:val="0"/>
              <w:adjustRightInd w:val="0"/>
              <w:spacing w:after="0" w:line="480" w:lineRule="auto"/>
              <w:ind w:left="60" w:right="60"/>
              <w:jc w:val="right"/>
              <w:rPr>
                <w:rFonts w:ascii="Times New Roman" w:eastAsiaTheme="minorEastAsia" w:hAnsi="Times New Roman"/>
                <w:color w:val="000000"/>
                <w:sz w:val="24"/>
                <w:szCs w:val="24"/>
                <w:lang w:eastAsia="en-US"/>
              </w:rPr>
            </w:pPr>
            <w:r w:rsidRPr="006B5E0E">
              <w:rPr>
                <w:rFonts w:ascii="Times New Roman" w:eastAsiaTheme="minorEastAsia" w:hAnsi="Times New Roman"/>
                <w:color w:val="000000"/>
                <w:sz w:val="24"/>
                <w:szCs w:val="24"/>
                <w:lang w:eastAsia="en-US"/>
              </w:rPr>
              <w:t>324.549</w:t>
            </w:r>
          </w:p>
        </w:tc>
        <w:tc>
          <w:tcPr>
            <w:tcW w:w="1073" w:type="dxa"/>
            <w:tcBorders>
              <w:top w:val="nil"/>
              <w:bottom w:val="nil"/>
            </w:tcBorders>
            <w:shd w:val="clear" w:color="auto" w:fill="FFFFFF"/>
          </w:tcPr>
          <w:p w:rsidR="00887DE5" w:rsidRPr="006B5E0E" w:rsidRDefault="00887DE5" w:rsidP="006B5E0E">
            <w:pPr>
              <w:widowControl w:val="0"/>
              <w:autoSpaceDE w:val="0"/>
              <w:autoSpaceDN w:val="0"/>
              <w:adjustRightInd w:val="0"/>
              <w:spacing w:after="0" w:line="480" w:lineRule="auto"/>
              <w:ind w:left="60" w:right="60"/>
              <w:jc w:val="right"/>
              <w:rPr>
                <w:rFonts w:ascii="Times New Roman" w:eastAsiaTheme="minorEastAsia" w:hAnsi="Times New Roman"/>
                <w:color w:val="000000"/>
                <w:sz w:val="24"/>
                <w:szCs w:val="24"/>
                <w:lang w:eastAsia="en-US"/>
              </w:rPr>
            </w:pPr>
            <w:r w:rsidRPr="006B5E0E">
              <w:rPr>
                <w:rFonts w:ascii="Times New Roman" w:eastAsiaTheme="minorEastAsia" w:hAnsi="Times New Roman"/>
                <w:color w:val="000000"/>
                <w:sz w:val="24"/>
                <w:szCs w:val="24"/>
                <w:lang w:eastAsia="en-US"/>
              </w:rPr>
              <w:t>200</w:t>
            </w:r>
          </w:p>
        </w:tc>
        <w:tc>
          <w:tcPr>
            <w:tcW w:w="1581" w:type="dxa"/>
            <w:tcBorders>
              <w:top w:val="nil"/>
              <w:bottom w:val="nil"/>
            </w:tcBorders>
            <w:shd w:val="clear" w:color="auto" w:fill="FFFFFF"/>
          </w:tcPr>
          <w:p w:rsidR="00887DE5" w:rsidRPr="006B5E0E" w:rsidRDefault="00887DE5" w:rsidP="006B5E0E">
            <w:pPr>
              <w:widowControl w:val="0"/>
              <w:autoSpaceDE w:val="0"/>
              <w:autoSpaceDN w:val="0"/>
              <w:adjustRightInd w:val="0"/>
              <w:spacing w:after="0" w:line="480" w:lineRule="auto"/>
              <w:ind w:left="60" w:right="60"/>
              <w:jc w:val="right"/>
              <w:rPr>
                <w:rFonts w:ascii="Times New Roman" w:eastAsiaTheme="minorEastAsia" w:hAnsi="Times New Roman"/>
                <w:color w:val="000000"/>
                <w:sz w:val="24"/>
                <w:szCs w:val="24"/>
                <w:lang w:eastAsia="en-US"/>
              </w:rPr>
            </w:pPr>
            <w:r w:rsidRPr="006B5E0E">
              <w:rPr>
                <w:rFonts w:ascii="Times New Roman" w:eastAsiaTheme="minorEastAsia" w:hAnsi="Times New Roman"/>
                <w:color w:val="000000"/>
                <w:sz w:val="24"/>
                <w:szCs w:val="24"/>
                <w:lang w:eastAsia="en-US"/>
              </w:rPr>
              <w:t>1.623</w:t>
            </w:r>
          </w:p>
        </w:tc>
        <w:tc>
          <w:tcPr>
            <w:tcW w:w="771" w:type="dxa"/>
            <w:tcBorders>
              <w:top w:val="nil"/>
              <w:bottom w:val="nil"/>
            </w:tcBorders>
            <w:shd w:val="clear" w:color="auto" w:fill="FFFFFF"/>
          </w:tcPr>
          <w:p w:rsidR="00887DE5" w:rsidRPr="006B5E0E" w:rsidRDefault="00887DE5" w:rsidP="006B5E0E">
            <w:pPr>
              <w:widowControl w:val="0"/>
              <w:autoSpaceDE w:val="0"/>
              <w:autoSpaceDN w:val="0"/>
              <w:adjustRightInd w:val="0"/>
              <w:spacing w:after="0" w:line="480" w:lineRule="auto"/>
              <w:rPr>
                <w:rFonts w:ascii="Times New Roman" w:eastAsiaTheme="minorEastAsia" w:hAnsi="Times New Roman"/>
                <w:sz w:val="24"/>
                <w:szCs w:val="24"/>
                <w:lang w:eastAsia="en-US"/>
              </w:rPr>
            </w:pPr>
          </w:p>
        </w:tc>
        <w:tc>
          <w:tcPr>
            <w:tcW w:w="941" w:type="dxa"/>
            <w:tcBorders>
              <w:top w:val="nil"/>
              <w:bottom w:val="nil"/>
              <w:right w:val="single" w:sz="16" w:space="0" w:color="000000"/>
            </w:tcBorders>
            <w:shd w:val="clear" w:color="auto" w:fill="FFFFFF"/>
          </w:tcPr>
          <w:p w:rsidR="00887DE5" w:rsidRPr="006B5E0E" w:rsidRDefault="00887DE5" w:rsidP="006B5E0E">
            <w:pPr>
              <w:widowControl w:val="0"/>
              <w:autoSpaceDE w:val="0"/>
              <w:autoSpaceDN w:val="0"/>
              <w:adjustRightInd w:val="0"/>
              <w:spacing w:after="0" w:line="480" w:lineRule="auto"/>
              <w:rPr>
                <w:rFonts w:ascii="Times New Roman" w:eastAsiaTheme="minorEastAsia" w:hAnsi="Times New Roman"/>
                <w:sz w:val="24"/>
                <w:szCs w:val="24"/>
                <w:lang w:eastAsia="en-US"/>
              </w:rPr>
            </w:pPr>
          </w:p>
        </w:tc>
      </w:tr>
      <w:tr w:rsidR="00887DE5" w:rsidRPr="006B5E0E" w:rsidTr="00773316">
        <w:trPr>
          <w:cantSplit/>
        </w:trPr>
        <w:tc>
          <w:tcPr>
            <w:tcW w:w="3014" w:type="dxa"/>
            <w:vMerge/>
            <w:tcBorders>
              <w:top w:val="nil"/>
              <w:left w:val="single" w:sz="16" w:space="0" w:color="000000"/>
              <w:bottom w:val="nil"/>
              <w:right w:val="nil"/>
            </w:tcBorders>
            <w:shd w:val="clear" w:color="auto" w:fill="FFFFFF"/>
            <w:vAlign w:val="center"/>
          </w:tcPr>
          <w:p w:rsidR="00887DE5" w:rsidRPr="006B5E0E" w:rsidRDefault="00887DE5" w:rsidP="006B5E0E">
            <w:pPr>
              <w:widowControl w:val="0"/>
              <w:autoSpaceDE w:val="0"/>
              <w:autoSpaceDN w:val="0"/>
              <w:adjustRightInd w:val="0"/>
              <w:spacing w:after="0" w:line="480" w:lineRule="auto"/>
              <w:rPr>
                <w:rFonts w:ascii="Times New Roman" w:eastAsiaTheme="minorEastAsia" w:hAnsi="Times New Roman"/>
                <w:sz w:val="24"/>
                <w:szCs w:val="24"/>
                <w:lang w:eastAsia="en-US"/>
              </w:rPr>
            </w:pPr>
          </w:p>
        </w:tc>
        <w:tc>
          <w:tcPr>
            <w:tcW w:w="1337" w:type="dxa"/>
            <w:tcBorders>
              <w:top w:val="nil"/>
              <w:left w:val="nil"/>
              <w:bottom w:val="nil"/>
              <w:right w:val="single" w:sz="16" w:space="0" w:color="000000"/>
            </w:tcBorders>
            <w:shd w:val="clear" w:color="auto" w:fill="FFFFFF"/>
            <w:vAlign w:val="center"/>
          </w:tcPr>
          <w:p w:rsidR="00887DE5" w:rsidRPr="006B5E0E" w:rsidRDefault="00887DE5" w:rsidP="006B5E0E">
            <w:pPr>
              <w:widowControl w:val="0"/>
              <w:autoSpaceDE w:val="0"/>
              <w:autoSpaceDN w:val="0"/>
              <w:adjustRightInd w:val="0"/>
              <w:spacing w:after="0" w:line="480" w:lineRule="auto"/>
              <w:ind w:left="60" w:right="60"/>
              <w:rPr>
                <w:rFonts w:ascii="Times New Roman" w:eastAsiaTheme="minorEastAsia" w:hAnsi="Times New Roman"/>
                <w:color w:val="000000"/>
                <w:sz w:val="24"/>
                <w:szCs w:val="24"/>
                <w:lang w:eastAsia="en-US"/>
              </w:rPr>
            </w:pPr>
            <w:r w:rsidRPr="006B5E0E">
              <w:rPr>
                <w:rFonts w:ascii="Times New Roman" w:eastAsiaTheme="minorEastAsia" w:hAnsi="Times New Roman"/>
                <w:color w:val="000000"/>
                <w:sz w:val="24"/>
                <w:szCs w:val="24"/>
                <w:lang w:eastAsia="en-US"/>
              </w:rPr>
              <w:t>Total</w:t>
            </w:r>
          </w:p>
        </w:tc>
        <w:tc>
          <w:tcPr>
            <w:tcW w:w="1562" w:type="dxa"/>
            <w:tcBorders>
              <w:top w:val="nil"/>
              <w:left w:val="single" w:sz="16" w:space="0" w:color="000000"/>
              <w:bottom w:val="nil"/>
            </w:tcBorders>
            <w:shd w:val="clear" w:color="auto" w:fill="FFFFFF"/>
          </w:tcPr>
          <w:p w:rsidR="00887DE5" w:rsidRPr="006B5E0E" w:rsidRDefault="00887DE5" w:rsidP="006B5E0E">
            <w:pPr>
              <w:widowControl w:val="0"/>
              <w:autoSpaceDE w:val="0"/>
              <w:autoSpaceDN w:val="0"/>
              <w:adjustRightInd w:val="0"/>
              <w:spacing w:after="0" w:line="480" w:lineRule="auto"/>
              <w:ind w:left="60" w:right="60"/>
              <w:jc w:val="right"/>
              <w:rPr>
                <w:rFonts w:ascii="Times New Roman" w:eastAsiaTheme="minorEastAsia" w:hAnsi="Times New Roman"/>
                <w:color w:val="000000"/>
                <w:sz w:val="24"/>
                <w:szCs w:val="24"/>
                <w:lang w:eastAsia="en-US"/>
              </w:rPr>
            </w:pPr>
            <w:r w:rsidRPr="006B5E0E">
              <w:rPr>
                <w:rFonts w:ascii="Times New Roman" w:eastAsiaTheme="minorEastAsia" w:hAnsi="Times New Roman"/>
                <w:color w:val="000000"/>
                <w:sz w:val="24"/>
                <w:szCs w:val="24"/>
                <w:lang w:eastAsia="en-US"/>
              </w:rPr>
              <w:t>385.426</w:t>
            </w:r>
          </w:p>
        </w:tc>
        <w:tc>
          <w:tcPr>
            <w:tcW w:w="1073" w:type="dxa"/>
            <w:tcBorders>
              <w:top w:val="nil"/>
              <w:bottom w:val="nil"/>
            </w:tcBorders>
            <w:shd w:val="clear" w:color="auto" w:fill="FFFFFF"/>
          </w:tcPr>
          <w:p w:rsidR="00887DE5" w:rsidRPr="006B5E0E" w:rsidRDefault="00887DE5" w:rsidP="006B5E0E">
            <w:pPr>
              <w:widowControl w:val="0"/>
              <w:autoSpaceDE w:val="0"/>
              <w:autoSpaceDN w:val="0"/>
              <w:adjustRightInd w:val="0"/>
              <w:spacing w:after="0" w:line="480" w:lineRule="auto"/>
              <w:ind w:left="60" w:right="60"/>
              <w:jc w:val="right"/>
              <w:rPr>
                <w:rFonts w:ascii="Times New Roman" w:eastAsiaTheme="minorEastAsia" w:hAnsi="Times New Roman"/>
                <w:color w:val="000000"/>
                <w:sz w:val="24"/>
                <w:szCs w:val="24"/>
                <w:lang w:eastAsia="en-US"/>
              </w:rPr>
            </w:pPr>
            <w:r w:rsidRPr="006B5E0E">
              <w:rPr>
                <w:rFonts w:ascii="Times New Roman" w:eastAsiaTheme="minorEastAsia" w:hAnsi="Times New Roman"/>
                <w:color w:val="000000"/>
                <w:sz w:val="24"/>
                <w:szCs w:val="24"/>
                <w:lang w:eastAsia="en-US"/>
              </w:rPr>
              <w:t>203</w:t>
            </w:r>
          </w:p>
        </w:tc>
        <w:tc>
          <w:tcPr>
            <w:tcW w:w="1581" w:type="dxa"/>
            <w:tcBorders>
              <w:top w:val="nil"/>
              <w:bottom w:val="nil"/>
            </w:tcBorders>
            <w:shd w:val="clear" w:color="auto" w:fill="FFFFFF"/>
          </w:tcPr>
          <w:p w:rsidR="00887DE5" w:rsidRPr="006B5E0E" w:rsidRDefault="00887DE5" w:rsidP="006B5E0E">
            <w:pPr>
              <w:widowControl w:val="0"/>
              <w:autoSpaceDE w:val="0"/>
              <w:autoSpaceDN w:val="0"/>
              <w:adjustRightInd w:val="0"/>
              <w:spacing w:after="0" w:line="480" w:lineRule="auto"/>
              <w:rPr>
                <w:rFonts w:ascii="Times New Roman" w:eastAsiaTheme="minorEastAsia" w:hAnsi="Times New Roman"/>
                <w:sz w:val="24"/>
                <w:szCs w:val="24"/>
                <w:lang w:eastAsia="en-US"/>
              </w:rPr>
            </w:pPr>
          </w:p>
        </w:tc>
        <w:tc>
          <w:tcPr>
            <w:tcW w:w="771" w:type="dxa"/>
            <w:tcBorders>
              <w:top w:val="nil"/>
              <w:bottom w:val="nil"/>
            </w:tcBorders>
            <w:shd w:val="clear" w:color="auto" w:fill="FFFFFF"/>
          </w:tcPr>
          <w:p w:rsidR="00887DE5" w:rsidRPr="006B5E0E" w:rsidRDefault="00887DE5" w:rsidP="006B5E0E">
            <w:pPr>
              <w:widowControl w:val="0"/>
              <w:autoSpaceDE w:val="0"/>
              <w:autoSpaceDN w:val="0"/>
              <w:adjustRightInd w:val="0"/>
              <w:spacing w:after="0" w:line="480" w:lineRule="auto"/>
              <w:rPr>
                <w:rFonts w:ascii="Times New Roman" w:eastAsiaTheme="minorEastAsia" w:hAnsi="Times New Roman"/>
                <w:sz w:val="24"/>
                <w:szCs w:val="24"/>
                <w:lang w:eastAsia="en-US"/>
              </w:rPr>
            </w:pPr>
          </w:p>
        </w:tc>
        <w:tc>
          <w:tcPr>
            <w:tcW w:w="941" w:type="dxa"/>
            <w:tcBorders>
              <w:top w:val="nil"/>
              <w:bottom w:val="nil"/>
              <w:right w:val="single" w:sz="16" w:space="0" w:color="000000"/>
            </w:tcBorders>
            <w:shd w:val="clear" w:color="auto" w:fill="FFFFFF"/>
          </w:tcPr>
          <w:p w:rsidR="00887DE5" w:rsidRPr="006B5E0E" w:rsidRDefault="00887DE5" w:rsidP="006B5E0E">
            <w:pPr>
              <w:widowControl w:val="0"/>
              <w:autoSpaceDE w:val="0"/>
              <w:autoSpaceDN w:val="0"/>
              <w:adjustRightInd w:val="0"/>
              <w:spacing w:after="0" w:line="480" w:lineRule="auto"/>
              <w:rPr>
                <w:rFonts w:ascii="Times New Roman" w:eastAsiaTheme="minorEastAsia" w:hAnsi="Times New Roman"/>
                <w:sz w:val="24"/>
                <w:szCs w:val="24"/>
                <w:lang w:eastAsia="en-US"/>
              </w:rPr>
            </w:pPr>
          </w:p>
        </w:tc>
      </w:tr>
      <w:tr w:rsidR="00887DE5" w:rsidRPr="006B5E0E" w:rsidTr="00773316">
        <w:trPr>
          <w:cantSplit/>
        </w:trPr>
        <w:tc>
          <w:tcPr>
            <w:tcW w:w="3014" w:type="dxa"/>
            <w:vMerge w:val="restart"/>
            <w:tcBorders>
              <w:top w:val="nil"/>
              <w:left w:val="single" w:sz="16" w:space="0" w:color="000000"/>
              <w:bottom w:val="nil"/>
              <w:right w:val="nil"/>
            </w:tcBorders>
            <w:shd w:val="clear" w:color="auto" w:fill="FFFFFF"/>
            <w:vAlign w:val="center"/>
          </w:tcPr>
          <w:p w:rsidR="00887DE5" w:rsidRPr="006B5E0E" w:rsidRDefault="00887DE5" w:rsidP="006B5E0E">
            <w:pPr>
              <w:widowControl w:val="0"/>
              <w:autoSpaceDE w:val="0"/>
              <w:autoSpaceDN w:val="0"/>
              <w:adjustRightInd w:val="0"/>
              <w:spacing w:after="0" w:line="480" w:lineRule="auto"/>
              <w:ind w:left="60" w:right="60"/>
              <w:rPr>
                <w:rFonts w:ascii="Times New Roman" w:eastAsiaTheme="minorEastAsia" w:hAnsi="Times New Roman"/>
                <w:color w:val="000000"/>
                <w:sz w:val="24"/>
                <w:szCs w:val="24"/>
                <w:lang w:eastAsia="en-US"/>
              </w:rPr>
            </w:pPr>
            <w:r w:rsidRPr="006B5E0E">
              <w:rPr>
                <w:rFonts w:ascii="Times New Roman" w:eastAsiaTheme="minorEastAsia" w:hAnsi="Times New Roman"/>
                <w:color w:val="000000"/>
                <w:sz w:val="24"/>
                <w:szCs w:val="24"/>
                <w:lang w:eastAsia="en-US"/>
              </w:rPr>
              <w:t>On-Shore Vs Off-Shore</w:t>
            </w:r>
          </w:p>
        </w:tc>
        <w:tc>
          <w:tcPr>
            <w:tcW w:w="1337" w:type="dxa"/>
            <w:tcBorders>
              <w:top w:val="nil"/>
              <w:left w:val="nil"/>
              <w:bottom w:val="nil"/>
              <w:right w:val="single" w:sz="16" w:space="0" w:color="000000"/>
            </w:tcBorders>
            <w:shd w:val="clear" w:color="auto" w:fill="FFFFFF"/>
            <w:vAlign w:val="center"/>
          </w:tcPr>
          <w:p w:rsidR="00887DE5" w:rsidRPr="006B5E0E" w:rsidRDefault="00887DE5" w:rsidP="006B5E0E">
            <w:pPr>
              <w:widowControl w:val="0"/>
              <w:autoSpaceDE w:val="0"/>
              <w:autoSpaceDN w:val="0"/>
              <w:adjustRightInd w:val="0"/>
              <w:spacing w:after="0" w:line="480" w:lineRule="auto"/>
              <w:ind w:left="60" w:right="60"/>
              <w:rPr>
                <w:rFonts w:ascii="Times New Roman" w:eastAsiaTheme="minorEastAsia" w:hAnsi="Times New Roman"/>
                <w:color w:val="000000"/>
                <w:sz w:val="24"/>
                <w:szCs w:val="24"/>
                <w:lang w:eastAsia="en-US"/>
              </w:rPr>
            </w:pPr>
            <w:r w:rsidRPr="006B5E0E">
              <w:rPr>
                <w:rFonts w:ascii="Times New Roman" w:eastAsiaTheme="minorEastAsia" w:hAnsi="Times New Roman"/>
                <w:color w:val="000000"/>
                <w:sz w:val="24"/>
                <w:szCs w:val="24"/>
                <w:lang w:eastAsia="en-US"/>
              </w:rPr>
              <w:t>Between Groups</w:t>
            </w:r>
          </w:p>
        </w:tc>
        <w:tc>
          <w:tcPr>
            <w:tcW w:w="1562" w:type="dxa"/>
            <w:tcBorders>
              <w:top w:val="nil"/>
              <w:left w:val="single" w:sz="16" w:space="0" w:color="000000"/>
              <w:bottom w:val="nil"/>
            </w:tcBorders>
            <w:shd w:val="clear" w:color="auto" w:fill="FFFFFF"/>
          </w:tcPr>
          <w:p w:rsidR="00887DE5" w:rsidRPr="006B5E0E" w:rsidRDefault="00887DE5" w:rsidP="006B5E0E">
            <w:pPr>
              <w:widowControl w:val="0"/>
              <w:autoSpaceDE w:val="0"/>
              <w:autoSpaceDN w:val="0"/>
              <w:adjustRightInd w:val="0"/>
              <w:spacing w:after="0" w:line="480" w:lineRule="auto"/>
              <w:ind w:left="60" w:right="60"/>
              <w:jc w:val="right"/>
              <w:rPr>
                <w:rFonts w:ascii="Times New Roman" w:eastAsiaTheme="minorEastAsia" w:hAnsi="Times New Roman"/>
                <w:color w:val="000000"/>
                <w:sz w:val="24"/>
                <w:szCs w:val="24"/>
                <w:lang w:eastAsia="en-US"/>
              </w:rPr>
            </w:pPr>
            <w:r w:rsidRPr="006B5E0E">
              <w:rPr>
                <w:rFonts w:ascii="Times New Roman" w:eastAsiaTheme="minorEastAsia" w:hAnsi="Times New Roman"/>
                <w:color w:val="000000"/>
                <w:sz w:val="24"/>
                <w:szCs w:val="24"/>
                <w:lang w:eastAsia="en-US"/>
              </w:rPr>
              <w:t>42.054</w:t>
            </w:r>
          </w:p>
        </w:tc>
        <w:tc>
          <w:tcPr>
            <w:tcW w:w="1073" w:type="dxa"/>
            <w:tcBorders>
              <w:top w:val="nil"/>
              <w:bottom w:val="nil"/>
            </w:tcBorders>
            <w:shd w:val="clear" w:color="auto" w:fill="FFFFFF"/>
          </w:tcPr>
          <w:p w:rsidR="00887DE5" w:rsidRPr="006B5E0E" w:rsidRDefault="00887DE5" w:rsidP="006B5E0E">
            <w:pPr>
              <w:widowControl w:val="0"/>
              <w:autoSpaceDE w:val="0"/>
              <w:autoSpaceDN w:val="0"/>
              <w:adjustRightInd w:val="0"/>
              <w:spacing w:after="0" w:line="480" w:lineRule="auto"/>
              <w:ind w:left="60" w:right="60"/>
              <w:jc w:val="right"/>
              <w:rPr>
                <w:rFonts w:ascii="Times New Roman" w:eastAsiaTheme="minorEastAsia" w:hAnsi="Times New Roman"/>
                <w:color w:val="000000"/>
                <w:sz w:val="24"/>
                <w:szCs w:val="24"/>
                <w:lang w:eastAsia="en-US"/>
              </w:rPr>
            </w:pPr>
            <w:r w:rsidRPr="006B5E0E">
              <w:rPr>
                <w:rFonts w:ascii="Times New Roman" w:eastAsiaTheme="minorEastAsia" w:hAnsi="Times New Roman"/>
                <w:color w:val="000000"/>
                <w:sz w:val="24"/>
                <w:szCs w:val="24"/>
                <w:lang w:eastAsia="en-US"/>
              </w:rPr>
              <w:t>3</w:t>
            </w:r>
          </w:p>
        </w:tc>
        <w:tc>
          <w:tcPr>
            <w:tcW w:w="1581" w:type="dxa"/>
            <w:tcBorders>
              <w:top w:val="nil"/>
              <w:bottom w:val="nil"/>
            </w:tcBorders>
            <w:shd w:val="clear" w:color="auto" w:fill="FFFFFF"/>
          </w:tcPr>
          <w:p w:rsidR="00887DE5" w:rsidRPr="006B5E0E" w:rsidRDefault="00887DE5" w:rsidP="006B5E0E">
            <w:pPr>
              <w:widowControl w:val="0"/>
              <w:autoSpaceDE w:val="0"/>
              <w:autoSpaceDN w:val="0"/>
              <w:adjustRightInd w:val="0"/>
              <w:spacing w:after="0" w:line="480" w:lineRule="auto"/>
              <w:ind w:left="60" w:right="60"/>
              <w:jc w:val="right"/>
              <w:rPr>
                <w:rFonts w:ascii="Times New Roman" w:eastAsiaTheme="minorEastAsia" w:hAnsi="Times New Roman"/>
                <w:color w:val="000000"/>
                <w:sz w:val="24"/>
                <w:szCs w:val="24"/>
                <w:lang w:eastAsia="en-US"/>
              </w:rPr>
            </w:pPr>
            <w:r w:rsidRPr="006B5E0E">
              <w:rPr>
                <w:rFonts w:ascii="Times New Roman" w:eastAsiaTheme="minorEastAsia" w:hAnsi="Times New Roman"/>
                <w:color w:val="000000"/>
                <w:sz w:val="24"/>
                <w:szCs w:val="24"/>
                <w:lang w:eastAsia="en-US"/>
              </w:rPr>
              <w:t>14.018</w:t>
            </w:r>
          </w:p>
        </w:tc>
        <w:tc>
          <w:tcPr>
            <w:tcW w:w="771" w:type="dxa"/>
            <w:tcBorders>
              <w:top w:val="nil"/>
              <w:bottom w:val="nil"/>
            </w:tcBorders>
            <w:shd w:val="clear" w:color="auto" w:fill="FFFFFF"/>
          </w:tcPr>
          <w:p w:rsidR="00887DE5" w:rsidRPr="006B5E0E" w:rsidRDefault="00887DE5" w:rsidP="006B5E0E">
            <w:pPr>
              <w:widowControl w:val="0"/>
              <w:autoSpaceDE w:val="0"/>
              <w:autoSpaceDN w:val="0"/>
              <w:adjustRightInd w:val="0"/>
              <w:spacing w:after="0" w:line="480" w:lineRule="auto"/>
              <w:ind w:left="60" w:right="60"/>
              <w:jc w:val="right"/>
              <w:rPr>
                <w:rFonts w:ascii="Times New Roman" w:eastAsiaTheme="minorEastAsia" w:hAnsi="Times New Roman"/>
                <w:color w:val="000000"/>
                <w:sz w:val="24"/>
                <w:szCs w:val="24"/>
                <w:lang w:eastAsia="en-US"/>
              </w:rPr>
            </w:pPr>
            <w:r w:rsidRPr="006B5E0E">
              <w:rPr>
                <w:rFonts w:ascii="Times New Roman" w:eastAsiaTheme="minorEastAsia" w:hAnsi="Times New Roman"/>
                <w:color w:val="000000"/>
                <w:sz w:val="24"/>
                <w:szCs w:val="24"/>
                <w:lang w:eastAsia="en-US"/>
              </w:rPr>
              <w:t>8.631</w:t>
            </w:r>
          </w:p>
        </w:tc>
        <w:tc>
          <w:tcPr>
            <w:tcW w:w="941" w:type="dxa"/>
            <w:tcBorders>
              <w:top w:val="nil"/>
              <w:bottom w:val="nil"/>
              <w:right w:val="single" w:sz="16" w:space="0" w:color="000000"/>
            </w:tcBorders>
            <w:shd w:val="clear" w:color="auto" w:fill="FFFFFF"/>
          </w:tcPr>
          <w:p w:rsidR="00887DE5" w:rsidRPr="006B5E0E" w:rsidRDefault="00887DE5" w:rsidP="006B5E0E">
            <w:pPr>
              <w:widowControl w:val="0"/>
              <w:autoSpaceDE w:val="0"/>
              <w:autoSpaceDN w:val="0"/>
              <w:adjustRightInd w:val="0"/>
              <w:spacing w:after="0" w:line="480" w:lineRule="auto"/>
              <w:ind w:left="60" w:right="60"/>
              <w:jc w:val="right"/>
              <w:rPr>
                <w:rFonts w:ascii="Times New Roman" w:eastAsiaTheme="minorEastAsia" w:hAnsi="Times New Roman"/>
                <w:color w:val="000000"/>
                <w:sz w:val="24"/>
                <w:szCs w:val="24"/>
                <w:lang w:eastAsia="en-US"/>
              </w:rPr>
            </w:pPr>
            <w:r w:rsidRPr="006B5E0E">
              <w:rPr>
                <w:rFonts w:ascii="Times New Roman" w:eastAsiaTheme="minorEastAsia" w:hAnsi="Times New Roman"/>
                <w:color w:val="000000"/>
                <w:sz w:val="24"/>
                <w:szCs w:val="24"/>
                <w:lang w:eastAsia="en-US"/>
              </w:rPr>
              <w:t>.000</w:t>
            </w:r>
          </w:p>
        </w:tc>
      </w:tr>
      <w:tr w:rsidR="00887DE5" w:rsidRPr="006B5E0E" w:rsidTr="00773316">
        <w:trPr>
          <w:cantSplit/>
        </w:trPr>
        <w:tc>
          <w:tcPr>
            <w:tcW w:w="3014" w:type="dxa"/>
            <w:vMerge/>
            <w:tcBorders>
              <w:top w:val="nil"/>
              <w:left w:val="single" w:sz="16" w:space="0" w:color="000000"/>
              <w:bottom w:val="nil"/>
              <w:right w:val="nil"/>
            </w:tcBorders>
            <w:shd w:val="clear" w:color="auto" w:fill="FFFFFF"/>
            <w:vAlign w:val="center"/>
          </w:tcPr>
          <w:p w:rsidR="00887DE5" w:rsidRPr="006B5E0E" w:rsidRDefault="00887DE5" w:rsidP="006B5E0E">
            <w:pPr>
              <w:widowControl w:val="0"/>
              <w:autoSpaceDE w:val="0"/>
              <w:autoSpaceDN w:val="0"/>
              <w:adjustRightInd w:val="0"/>
              <w:spacing w:after="0" w:line="480" w:lineRule="auto"/>
              <w:rPr>
                <w:rFonts w:ascii="Times New Roman" w:eastAsiaTheme="minorEastAsia" w:hAnsi="Times New Roman"/>
                <w:color w:val="000000"/>
                <w:sz w:val="24"/>
                <w:szCs w:val="24"/>
                <w:lang w:eastAsia="en-US"/>
              </w:rPr>
            </w:pPr>
          </w:p>
        </w:tc>
        <w:tc>
          <w:tcPr>
            <w:tcW w:w="1337" w:type="dxa"/>
            <w:tcBorders>
              <w:top w:val="nil"/>
              <w:left w:val="nil"/>
              <w:bottom w:val="nil"/>
              <w:right w:val="single" w:sz="16" w:space="0" w:color="000000"/>
            </w:tcBorders>
            <w:shd w:val="clear" w:color="auto" w:fill="FFFFFF"/>
            <w:vAlign w:val="center"/>
          </w:tcPr>
          <w:p w:rsidR="00887DE5" w:rsidRPr="006B5E0E" w:rsidRDefault="00887DE5" w:rsidP="006B5E0E">
            <w:pPr>
              <w:widowControl w:val="0"/>
              <w:autoSpaceDE w:val="0"/>
              <w:autoSpaceDN w:val="0"/>
              <w:adjustRightInd w:val="0"/>
              <w:spacing w:after="0" w:line="480" w:lineRule="auto"/>
              <w:ind w:left="60" w:right="60"/>
              <w:rPr>
                <w:rFonts w:ascii="Times New Roman" w:eastAsiaTheme="minorEastAsia" w:hAnsi="Times New Roman"/>
                <w:color w:val="000000"/>
                <w:sz w:val="24"/>
                <w:szCs w:val="24"/>
                <w:lang w:eastAsia="en-US"/>
              </w:rPr>
            </w:pPr>
            <w:r w:rsidRPr="006B5E0E">
              <w:rPr>
                <w:rFonts w:ascii="Times New Roman" w:eastAsiaTheme="minorEastAsia" w:hAnsi="Times New Roman"/>
                <w:color w:val="000000"/>
                <w:sz w:val="24"/>
                <w:szCs w:val="24"/>
                <w:lang w:eastAsia="en-US"/>
              </w:rPr>
              <w:t>Within Groups</w:t>
            </w:r>
          </w:p>
        </w:tc>
        <w:tc>
          <w:tcPr>
            <w:tcW w:w="1562" w:type="dxa"/>
            <w:tcBorders>
              <w:top w:val="nil"/>
              <w:left w:val="single" w:sz="16" w:space="0" w:color="000000"/>
              <w:bottom w:val="nil"/>
            </w:tcBorders>
            <w:shd w:val="clear" w:color="auto" w:fill="FFFFFF"/>
          </w:tcPr>
          <w:p w:rsidR="00887DE5" w:rsidRPr="006B5E0E" w:rsidRDefault="00887DE5" w:rsidP="006B5E0E">
            <w:pPr>
              <w:widowControl w:val="0"/>
              <w:autoSpaceDE w:val="0"/>
              <w:autoSpaceDN w:val="0"/>
              <w:adjustRightInd w:val="0"/>
              <w:spacing w:after="0" w:line="480" w:lineRule="auto"/>
              <w:ind w:left="60" w:right="60"/>
              <w:jc w:val="right"/>
              <w:rPr>
                <w:rFonts w:ascii="Times New Roman" w:eastAsiaTheme="minorEastAsia" w:hAnsi="Times New Roman"/>
                <w:color w:val="000000"/>
                <w:sz w:val="24"/>
                <w:szCs w:val="24"/>
                <w:lang w:eastAsia="en-US"/>
              </w:rPr>
            </w:pPr>
            <w:r w:rsidRPr="006B5E0E">
              <w:rPr>
                <w:rFonts w:ascii="Times New Roman" w:eastAsiaTheme="minorEastAsia" w:hAnsi="Times New Roman"/>
                <w:color w:val="000000"/>
                <w:sz w:val="24"/>
                <w:szCs w:val="24"/>
                <w:lang w:eastAsia="en-US"/>
              </w:rPr>
              <w:t>324.824</w:t>
            </w:r>
          </w:p>
        </w:tc>
        <w:tc>
          <w:tcPr>
            <w:tcW w:w="1073" w:type="dxa"/>
            <w:tcBorders>
              <w:top w:val="nil"/>
              <w:bottom w:val="nil"/>
            </w:tcBorders>
            <w:shd w:val="clear" w:color="auto" w:fill="FFFFFF"/>
          </w:tcPr>
          <w:p w:rsidR="00887DE5" w:rsidRPr="006B5E0E" w:rsidRDefault="00887DE5" w:rsidP="006B5E0E">
            <w:pPr>
              <w:widowControl w:val="0"/>
              <w:autoSpaceDE w:val="0"/>
              <w:autoSpaceDN w:val="0"/>
              <w:adjustRightInd w:val="0"/>
              <w:spacing w:after="0" w:line="480" w:lineRule="auto"/>
              <w:ind w:left="60" w:right="60"/>
              <w:jc w:val="right"/>
              <w:rPr>
                <w:rFonts w:ascii="Times New Roman" w:eastAsiaTheme="minorEastAsia" w:hAnsi="Times New Roman"/>
                <w:color w:val="000000"/>
                <w:sz w:val="24"/>
                <w:szCs w:val="24"/>
                <w:lang w:eastAsia="en-US"/>
              </w:rPr>
            </w:pPr>
            <w:r w:rsidRPr="006B5E0E">
              <w:rPr>
                <w:rFonts w:ascii="Times New Roman" w:eastAsiaTheme="minorEastAsia" w:hAnsi="Times New Roman"/>
                <w:color w:val="000000"/>
                <w:sz w:val="24"/>
                <w:szCs w:val="24"/>
                <w:lang w:eastAsia="en-US"/>
              </w:rPr>
              <w:t>200</w:t>
            </w:r>
          </w:p>
        </w:tc>
        <w:tc>
          <w:tcPr>
            <w:tcW w:w="1581" w:type="dxa"/>
            <w:tcBorders>
              <w:top w:val="nil"/>
              <w:bottom w:val="nil"/>
            </w:tcBorders>
            <w:shd w:val="clear" w:color="auto" w:fill="FFFFFF"/>
          </w:tcPr>
          <w:p w:rsidR="00887DE5" w:rsidRPr="006B5E0E" w:rsidRDefault="00887DE5" w:rsidP="006B5E0E">
            <w:pPr>
              <w:widowControl w:val="0"/>
              <w:autoSpaceDE w:val="0"/>
              <w:autoSpaceDN w:val="0"/>
              <w:adjustRightInd w:val="0"/>
              <w:spacing w:after="0" w:line="480" w:lineRule="auto"/>
              <w:ind w:left="60" w:right="60"/>
              <w:jc w:val="right"/>
              <w:rPr>
                <w:rFonts w:ascii="Times New Roman" w:eastAsiaTheme="minorEastAsia" w:hAnsi="Times New Roman"/>
                <w:color w:val="000000"/>
                <w:sz w:val="24"/>
                <w:szCs w:val="24"/>
                <w:lang w:eastAsia="en-US"/>
              </w:rPr>
            </w:pPr>
            <w:r w:rsidRPr="006B5E0E">
              <w:rPr>
                <w:rFonts w:ascii="Times New Roman" w:eastAsiaTheme="minorEastAsia" w:hAnsi="Times New Roman"/>
                <w:color w:val="000000"/>
                <w:sz w:val="24"/>
                <w:szCs w:val="24"/>
                <w:lang w:eastAsia="en-US"/>
              </w:rPr>
              <w:t>1.624</w:t>
            </w:r>
          </w:p>
        </w:tc>
        <w:tc>
          <w:tcPr>
            <w:tcW w:w="771" w:type="dxa"/>
            <w:tcBorders>
              <w:top w:val="nil"/>
              <w:bottom w:val="nil"/>
            </w:tcBorders>
            <w:shd w:val="clear" w:color="auto" w:fill="FFFFFF"/>
          </w:tcPr>
          <w:p w:rsidR="00887DE5" w:rsidRPr="006B5E0E" w:rsidRDefault="00887DE5" w:rsidP="006B5E0E">
            <w:pPr>
              <w:widowControl w:val="0"/>
              <w:autoSpaceDE w:val="0"/>
              <w:autoSpaceDN w:val="0"/>
              <w:adjustRightInd w:val="0"/>
              <w:spacing w:after="0" w:line="480" w:lineRule="auto"/>
              <w:rPr>
                <w:rFonts w:ascii="Times New Roman" w:eastAsiaTheme="minorEastAsia" w:hAnsi="Times New Roman"/>
                <w:sz w:val="24"/>
                <w:szCs w:val="24"/>
                <w:lang w:eastAsia="en-US"/>
              </w:rPr>
            </w:pPr>
          </w:p>
        </w:tc>
        <w:tc>
          <w:tcPr>
            <w:tcW w:w="941" w:type="dxa"/>
            <w:tcBorders>
              <w:top w:val="nil"/>
              <w:bottom w:val="nil"/>
              <w:right w:val="single" w:sz="16" w:space="0" w:color="000000"/>
            </w:tcBorders>
            <w:shd w:val="clear" w:color="auto" w:fill="FFFFFF"/>
          </w:tcPr>
          <w:p w:rsidR="00887DE5" w:rsidRPr="006B5E0E" w:rsidRDefault="00887DE5" w:rsidP="006B5E0E">
            <w:pPr>
              <w:widowControl w:val="0"/>
              <w:autoSpaceDE w:val="0"/>
              <w:autoSpaceDN w:val="0"/>
              <w:adjustRightInd w:val="0"/>
              <w:spacing w:after="0" w:line="480" w:lineRule="auto"/>
              <w:rPr>
                <w:rFonts w:ascii="Times New Roman" w:eastAsiaTheme="minorEastAsia" w:hAnsi="Times New Roman"/>
                <w:sz w:val="24"/>
                <w:szCs w:val="24"/>
                <w:lang w:eastAsia="en-US"/>
              </w:rPr>
            </w:pPr>
          </w:p>
        </w:tc>
      </w:tr>
      <w:tr w:rsidR="00887DE5" w:rsidRPr="006B5E0E" w:rsidTr="00773316">
        <w:trPr>
          <w:cantSplit/>
        </w:trPr>
        <w:tc>
          <w:tcPr>
            <w:tcW w:w="3014" w:type="dxa"/>
            <w:vMerge/>
            <w:tcBorders>
              <w:top w:val="nil"/>
              <w:left w:val="single" w:sz="16" w:space="0" w:color="000000"/>
              <w:bottom w:val="nil"/>
              <w:right w:val="nil"/>
            </w:tcBorders>
            <w:shd w:val="clear" w:color="auto" w:fill="FFFFFF"/>
            <w:vAlign w:val="center"/>
          </w:tcPr>
          <w:p w:rsidR="00887DE5" w:rsidRPr="006B5E0E" w:rsidRDefault="00887DE5" w:rsidP="006B5E0E">
            <w:pPr>
              <w:widowControl w:val="0"/>
              <w:autoSpaceDE w:val="0"/>
              <w:autoSpaceDN w:val="0"/>
              <w:adjustRightInd w:val="0"/>
              <w:spacing w:after="0" w:line="480" w:lineRule="auto"/>
              <w:rPr>
                <w:rFonts w:ascii="Times New Roman" w:eastAsiaTheme="minorEastAsia" w:hAnsi="Times New Roman"/>
                <w:sz w:val="24"/>
                <w:szCs w:val="24"/>
                <w:lang w:eastAsia="en-US"/>
              </w:rPr>
            </w:pPr>
          </w:p>
        </w:tc>
        <w:tc>
          <w:tcPr>
            <w:tcW w:w="1337" w:type="dxa"/>
            <w:tcBorders>
              <w:top w:val="nil"/>
              <w:left w:val="nil"/>
              <w:bottom w:val="nil"/>
              <w:right w:val="single" w:sz="16" w:space="0" w:color="000000"/>
            </w:tcBorders>
            <w:shd w:val="clear" w:color="auto" w:fill="FFFFFF"/>
            <w:vAlign w:val="center"/>
          </w:tcPr>
          <w:p w:rsidR="00887DE5" w:rsidRPr="006B5E0E" w:rsidRDefault="00887DE5" w:rsidP="006B5E0E">
            <w:pPr>
              <w:widowControl w:val="0"/>
              <w:autoSpaceDE w:val="0"/>
              <w:autoSpaceDN w:val="0"/>
              <w:adjustRightInd w:val="0"/>
              <w:spacing w:after="0" w:line="480" w:lineRule="auto"/>
              <w:ind w:left="60" w:right="60"/>
              <w:rPr>
                <w:rFonts w:ascii="Times New Roman" w:eastAsiaTheme="minorEastAsia" w:hAnsi="Times New Roman"/>
                <w:color w:val="000000"/>
                <w:sz w:val="24"/>
                <w:szCs w:val="24"/>
                <w:lang w:eastAsia="en-US"/>
              </w:rPr>
            </w:pPr>
            <w:r w:rsidRPr="006B5E0E">
              <w:rPr>
                <w:rFonts w:ascii="Times New Roman" w:eastAsiaTheme="minorEastAsia" w:hAnsi="Times New Roman"/>
                <w:color w:val="000000"/>
                <w:sz w:val="24"/>
                <w:szCs w:val="24"/>
                <w:lang w:eastAsia="en-US"/>
              </w:rPr>
              <w:t>Total</w:t>
            </w:r>
          </w:p>
        </w:tc>
        <w:tc>
          <w:tcPr>
            <w:tcW w:w="1562" w:type="dxa"/>
            <w:tcBorders>
              <w:top w:val="nil"/>
              <w:left w:val="single" w:sz="16" w:space="0" w:color="000000"/>
              <w:bottom w:val="nil"/>
            </w:tcBorders>
            <w:shd w:val="clear" w:color="auto" w:fill="FFFFFF"/>
          </w:tcPr>
          <w:p w:rsidR="00887DE5" w:rsidRPr="006B5E0E" w:rsidRDefault="00887DE5" w:rsidP="006B5E0E">
            <w:pPr>
              <w:widowControl w:val="0"/>
              <w:autoSpaceDE w:val="0"/>
              <w:autoSpaceDN w:val="0"/>
              <w:adjustRightInd w:val="0"/>
              <w:spacing w:after="0" w:line="480" w:lineRule="auto"/>
              <w:ind w:left="60" w:right="60"/>
              <w:jc w:val="right"/>
              <w:rPr>
                <w:rFonts w:ascii="Times New Roman" w:eastAsiaTheme="minorEastAsia" w:hAnsi="Times New Roman"/>
                <w:color w:val="000000"/>
                <w:sz w:val="24"/>
                <w:szCs w:val="24"/>
                <w:lang w:eastAsia="en-US"/>
              </w:rPr>
            </w:pPr>
            <w:r w:rsidRPr="006B5E0E">
              <w:rPr>
                <w:rFonts w:ascii="Times New Roman" w:eastAsiaTheme="minorEastAsia" w:hAnsi="Times New Roman"/>
                <w:color w:val="000000"/>
                <w:sz w:val="24"/>
                <w:szCs w:val="24"/>
                <w:lang w:eastAsia="en-US"/>
              </w:rPr>
              <w:t>366.877</w:t>
            </w:r>
          </w:p>
        </w:tc>
        <w:tc>
          <w:tcPr>
            <w:tcW w:w="1073" w:type="dxa"/>
            <w:tcBorders>
              <w:top w:val="nil"/>
              <w:bottom w:val="nil"/>
            </w:tcBorders>
            <w:shd w:val="clear" w:color="auto" w:fill="FFFFFF"/>
          </w:tcPr>
          <w:p w:rsidR="00887DE5" w:rsidRPr="006B5E0E" w:rsidRDefault="00887DE5" w:rsidP="006B5E0E">
            <w:pPr>
              <w:widowControl w:val="0"/>
              <w:autoSpaceDE w:val="0"/>
              <w:autoSpaceDN w:val="0"/>
              <w:adjustRightInd w:val="0"/>
              <w:spacing w:after="0" w:line="480" w:lineRule="auto"/>
              <w:ind w:left="60" w:right="60"/>
              <w:jc w:val="right"/>
              <w:rPr>
                <w:rFonts w:ascii="Times New Roman" w:eastAsiaTheme="minorEastAsia" w:hAnsi="Times New Roman"/>
                <w:color w:val="000000"/>
                <w:sz w:val="24"/>
                <w:szCs w:val="24"/>
                <w:lang w:eastAsia="en-US"/>
              </w:rPr>
            </w:pPr>
            <w:r w:rsidRPr="006B5E0E">
              <w:rPr>
                <w:rFonts w:ascii="Times New Roman" w:eastAsiaTheme="minorEastAsia" w:hAnsi="Times New Roman"/>
                <w:color w:val="000000"/>
                <w:sz w:val="24"/>
                <w:szCs w:val="24"/>
                <w:lang w:eastAsia="en-US"/>
              </w:rPr>
              <w:t>203</w:t>
            </w:r>
          </w:p>
        </w:tc>
        <w:tc>
          <w:tcPr>
            <w:tcW w:w="1581" w:type="dxa"/>
            <w:tcBorders>
              <w:top w:val="nil"/>
              <w:bottom w:val="nil"/>
            </w:tcBorders>
            <w:shd w:val="clear" w:color="auto" w:fill="FFFFFF"/>
          </w:tcPr>
          <w:p w:rsidR="00887DE5" w:rsidRPr="006B5E0E" w:rsidRDefault="00887DE5" w:rsidP="006B5E0E">
            <w:pPr>
              <w:widowControl w:val="0"/>
              <w:autoSpaceDE w:val="0"/>
              <w:autoSpaceDN w:val="0"/>
              <w:adjustRightInd w:val="0"/>
              <w:spacing w:after="0" w:line="480" w:lineRule="auto"/>
              <w:rPr>
                <w:rFonts w:ascii="Times New Roman" w:eastAsiaTheme="minorEastAsia" w:hAnsi="Times New Roman"/>
                <w:sz w:val="24"/>
                <w:szCs w:val="24"/>
                <w:lang w:eastAsia="en-US"/>
              </w:rPr>
            </w:pPr>
          </w:p>
        </w:tc>
        <w:tc>
          <w:tcPr>
            <w:tcW w:w="771" w:type="dxa"/>
            <w:tcBorders>
              <w:top w:val="nil"/>
              <w:bottom w:val="nil"/>
            </w:tcBorders>
            <w:shd w:val="clear" w:color="auto" w:fill="FFFFFF"/>
          </w:tcPr>
          <w:p w:rsidR="00887DE5" w:rsidRPr="006B5E0E" w:rsidRDefault="00887DE5" w:rsidP="006B5E0E">
            <w:pPr>
              <w:widowControl w:val="0"/>
              <w:autoSpaceDE w:val="0"/>
              <w:autoSpaceDN w:val="0"/>
              <w:adjustRightInd w:val="0"/>
              <w:spacing w:after="0" w:line="480" w:lineRule="auto"/>
              <w:rPr>
                <w:rFonts w:ascii="Times New Roman" w:eastAsiaTheme="minorEastAsia" w:hAnsi="Times New Roman"/>
                <w:sz w:val="24"/>
                <w:szCs w:val="24"/>
                <w:lang w:eastAsia="en-US"/>
              </w:rPr>
            </w:pPr>
          </w:p>
        </w:tc>
        <w:tc>
          <w:tcPr>
            <w:tcW w:w="941" w:type="dxa"/>
            <w:tcBorders>
              <w:top w:val="nil"/>
              <w:bottom w:val="nil"/>
              <w:right w:val="single" w:sz="16" w:space="0" w:color="000000"/>
            </w:tcBorders>
            <w:shd w:val="clear" w:color="auto" w:fill="FFFFFF"/>
          </w:tcPr>
          <w:p w:rsidR="00887DE5" w:rsidRPr="006B5E0E" w:rsidRDefault="00887DE5" w:rsidP="006B5E0E">
            <w:pPr>
              <w:widowControl w:val="0"/>
              <w:autoSpaceDE w:val="0"/>
              <w:autoSpaceDN w:val="0"/>
              <w:adjustRightInd w:val="0"/>
              <w:spacing w:after="0" w:line="480" w:lineRule="auto"/>
              <w:rPr>
                <w:rFonts w:ascii="Times New Roman" w:eastAsiaTheme="minorEastAsia" w:hAnsi="Times New Roman"/>
                <w:sz w:val="24"/>
                <w:szCs w:val="24"/>
                <w:lang w:eastAsia="en-US"/>
              </w:rPr>
            </w:pPr>
          </w:p>
        </w:tc>
      </w:tr>
      <w:tr w:rsidR="00887DE5" w:rsidRPr="006B5E0E" w:rsidTr="00773316">
        <w:trPr>
          <w:cantSplit/>
        </w:trPr>
        <w:tc>
          <w:tcPr>
            <w:tcW w:w="3014" w:type="dxa"/>
            <w:vMerge w:val="restart"/>
            <w:tcBorders>
              <w:top w:val="nil"/>
              <w:left w:val="single" w:sz="16" w:space="0" w:color="000000"/>
              <w:bottom w:val="single" w:sz="16" w:space="0" w:color="000000"/>
              <w:right w:val="nil"/>
            </w:tcBorders>
            <w:shd w:val="clear" w:color="auto" w:fill="FFFFFF"/>
            <w:vAlign w:val="center"/>
          </w:tcPr>
          <w:p w:rsidR="00887DE5" w:rsidRPr="006B5E0E" w:rsidRDefault="00887DE5" w:rsidP="006B5E0E">
            <w:pPr>
              <w:widowControl w:val="0"/>
              <w:autoSpaceDE w:val="0"/>
              <w:autoSpaceDN w:val="0"/>
              <w:adjustRightInd w:val="0"/>
              <w:spacing w:after="0" w:line="480" w:lineRule="auto"/>
              <w:ind w:left="60" w:right="60"/>
              <w:rPr>
                <w:rFonts w:ascii="Times New Roman" w:eastAsiaTheme="minorEastAsia" w:hAnsi="Times New Roman"/>
                <w:color w:val="000000"/>
                <w:sz w:val="24"/>
                <w:szCs w:val="24"/>
                <w:lang w:eastAsia="en-US"/>
              </w:rPr>
            </w:pPr>
            <w:r w:rsidRPr="006B5E0E">
              <w:rPr>
                <w:rFonts w:ascii="Times New Roman" w:eastAsiaTheme="minorEastAsia" w:hAnsi="Times New Roman"/>
                <w:color w:val="000000"/>
                <w:sz w:val="24"/>
                <w:szCs w:val="24"/>
                <w:lang w:eastAsia="en-US"/>
              </w:rPr>
              <w:lastRenderedPageBreak/>
              <w:t>Balance Sheet Focus</w:t>
            </w:r>
          </w:p>
        </w:tc>
        <w:tc>
          <w:tcPr>
            <w:tcW w:w="1337" w:type="dxa"/>
            <w:tcBorders>
              <w:top w:val="nil"/>
              <w:left w:val="nil"/>
              <w:bottom w:val="nil"/>
              <w:right w:val="single" w:sz="16" w:space="0" w:color="000000"/>
            </w:tcBorders>
            <w:shd w:val="clear" w:color="auto" w:fill="FFFFFF"/>
            <w:vAlign w:val="center"/>
          </w:tcPr>
          <w:p w:rsidR="00887DE5" w:rsidRPr="006B5E0E" w:rsidRDefault="00887DE5" w:rsidP="006B5E0E">
            <w:pPr>
              <w:widowControl w:val="0"/>
              <w:autoSpaceDE w:val="0"/>
              <w:autoSpaceDN w:val="0"/>
              <w:adjustRightInd w:val="0"/>
              <w:spacing w:after="0" w:line="480" w:lineRule="auto"/>
              <w:ind w:left="60" w:right="60"/>
              <w:rPr>
                <w:rFonts w:ascii="Times New Roman" w:eastAsiaTheme="minorEastAsia" w:hAnsi="Times New Roman"/>
                <w:color w:val="000000"/>
                <w:sz w:val="24"/>
                <w:szCs w:val="24"/>
                <w:lang w:eastAsia="en-US"/>
              </w:rPr>
            </w:pPr>
            <w:r w:rsidRPr="006B5E0E">
              <w:rPr>
                <w:rFonts w:ascii="Times New Roman" w:eastAsiaTheme="minorEastAsia" w:hAnsi="Times New Roman"/>
                <w:color w:val="000000"/>
                <w:sz w:val="24"/>
                <w:szCs w:val="24"/>
                <w:lang w:eastAsia="en-US"/>
              </w:rPr>
              <w:t>Between Groups</w:t>
            </w:r>
          </w:p>
        </w:tc>
        <w:tc>
          <w:tcPr>
            <w:tcW w:w="1562" w:type="dxa"/>
            <w:tcBorders>
              <w:top w:val="nil"/>
              <w:left w:val="single" w:sz="16" w:space="0" w:color="000000"/>
              <w:bottom w:val="nil"/>
            </w:tcBorders>
            <w:shd w:val="clear" w:color="auto" w:fill="FFFFFF"/>
          </w:tcPr>
          <w:p w:rsidR="00887DE5" w:rsidRPr="006B5E0E" w:rsidRDefault="00887DE5" w:rsidP="006B5E0E">
            <w:pPr>
              <w:widowControl w:val="0"/>
              <w:autoSpaceDE w:val="0"/>
              <w:autoSpaceDN w:val="0"/>
              <w:adjustRightInd w:val="0"/>
              <w:spacing w:after="0" w:line="480" w:lineRule="auto"/>
              <w:ind w:left="60" w:right="60"/>
              <w:jc w:val="right"/>
              <w:rPr>
                <w:rFonts w:ascii="Times New Roman" w:eastAsiaTheme="minorEastAsia" w:hAnsi="Times New Roman"/>
                <w:color w:val="000000"/>
                <w:sz w:val="24"/>
                <w:szCs w:val="24"/>
                <w:lang w:eastAsia="en-US"/>
              </w:rPr>
            </w:pPr>
            <w:r w:rsidRPr="006B5E0E">
              <w:rPr>
                <w:rFonts w:ascii="Times New Roman" w:eastAsiaTheme="minorEastAsia" w:hAnsi="Times New Roman"/>
                <w:color w:val="000000"/>
                <w:sz w:val="24"/>
                <w:szCs w:val="24"/>
                <w:lang w:eastAsia="en-US"/>
              </w:rPr>
              <w:t>197.922</w:t>
            </w:r>
          </w:p>
        </w:tc>
        <w:tc>
          <w:tcPr>
            <w:tcW w:w="1073" w:type="dxa"/>
            <w:tcBorders>
              <w:top w:val="nil"/>
              <w:bottom w:val="nil"/>
            </w:tcBorders>
            <w:shd w:val="clear" w:color="auto" w:fill="FFFFFF"/>
          </w:tcPr>
          <w:p w:rsidR="00887DE5" w:rsidRPr="006B5E0E" w:rsidRDefault="00887DE5" w:rsidP="006B5E0E">
            <w:pPr>
              <w:widowControl w:val="0"/>
              <w:autoSpaceDE w:val="0"/>
              <w:autoSpaceDN w:val="0"/>
              <w:adjustRightInd w:val="0"/>
              <w:spacing w:after="0" w:line="480" w:lineRule="auto"/>
              <w:ind w:left="60" w:right="60"/>
              <w:jc w:val="right"/>
              <w:rPr>
                <w:rFonts w:ascii="Times New Roman" w:eastAsiaTheme="minorEastAsia" w:hAnsi="Times New Roman"/>
                <w:color w:val="000000"/>
                <w:sz w:val="24"/>
                <w:szCs w:val="24"/>
                <w:lang w:eastAsia="en-US"/>
              </w:rPr>
            </w:pPr>
            <w:r w:rsidRPr="006B5E0E">
              <w:rPr>
                <w:rFonts w:ascii="Times New Roman" w:eastAsiaTheme="minorEastAsia" w:hAnsi="Times New Roman"/>
                <w:color w:val="000000"/>
                <w:sz w:val="24"/>
                <w:szCs w:val="24"/>
                <w:lang w:eastAsia="en-US"/>
              </w:rPr>
              <w:t>3</w:t>
            </w:r>
          </w:p>
        </w:tc>
        <w:tc>
          <w:tcPr>
            <w:tcW w:w="1581" w:type="dxa"/>
            <w:tcBorders>
              <w:top w:val="nil"/>
              <w:bottom w:val="nil"/>
            </w:tcBorders>
            <w:shd w:val="clear" w:color="auto" w:fill="FFFFFF"/>
          </w:tcPr>
          <w:p w:rsidR="00887DE5" w:rsidRPr="006B5E0E" w:rsidRDefault="00887DE5" w:rsidP="006B5E0E">
            <w:pPr>
              <w:widowControl w:val="0"/>
              <w:autoSpaceDE w:val="0"/>
              <w:autoSpaceDN w:val="0"/>
              <w:adjustRightInd w:val="0"/>
              <w:spacing w:after="0" w:line="480" w:lineRule="auto"/>
              <w:ind w:left="60" w:right="60"/>
              <w:jc w:val="right"/>
              <w:rPr>
                <w:rFonts w:ascii="Times New Roman" w:eastAsiaTheme="minorEastAsia" w:hAnsi="Times New Roman"/>
                <w:color w:val="000000"/>
                <w:sz w:val="24"/>
                <w:szCs w:val="24"/>
                <w:lang w:eastAsia="en-US"/>
              </w:rPr>
            </w:pPr>
            <w:r w:rsidRPr="006B5E0E">
              <w:rPr>
                <w:rFonts w:ascii="Times New Roman" w:eastAsiaTheme="minorEastAsia" w:hAnsi="Times New Roman"/>
                <w:color w:val="000000"/>
                <w:sz w:val="24"/>
                <w:szCs w:val="24"/>
                <w:lang w:eastAsia="en-US"/>
              </w:rPr>
              <w:t>65.974</w:t>
            </w:r>
          </w:p>
        </w:tc>
        <w:tc>
          <w:tcPr>
            <w:tcW w:w="771" w:type="dxa"/>
            <w:tcBorders>
              <w:top w:val="nil"/>
              <w:bottom w:val="nil"/>
            </w:tcBorders>
            <w:shd w:val="clear" w:color="auto" w:fill="FFFFFF"/>
          </w:tcPr>
          <w:p w:rsidR="00887DE5" w:rsidRPr="006B5E0E" w:rsidRDefault="00887DE5" w:rsidP="006B5E0E">
            <w:pPr>
              <w:widowControl w:val="0"/>
              <w:autoSpaceDE w:val="0"/>
              <w:autoSpaceDN w:val="0"/>
              <w:adjustRightInd w:val="0"/>
              <w:spacing w:after="0" w:line="480" w:lineRule="auto"/>
              <w:ind w:left="60" w:right="60"/>
              <w:jc w:val="right"/>
              <w:rPr>
                <w:rFonts w:ascii="Times New Roman" w:eastAsiaTheme="minorEastAsia" w:hAnsi="Times New Roman"/>
                <w:color w:val="000000"/>
                <w:sz w:val="24"/>
                <w:szCs w:val="24"/>
                <w:lang w:eastAsia="en-US"/>
              </w:rPr>
            </w:pPr>
            <w:r w:rsidRPr="006B5E0E">
              <w:rPr>
                <w:rFonts w:ascii="Times New Roman" w:eastAsiaTheme="minorEastAsia" w:hAnsi="Times New Roman"/>
                <w:color w:val="000000"/>
                <w:sz w:val="24"/>
                <w:szCs w:val="24"/>
                <w:lang w:eastAsia="en-US"/>
              </w:rPr>
              <w:t>41.437</w:t>
            </w:r>
          </w:p>
        </w:tc>
        <w:tc>
          <w:tcPr>
            <w:tcW w:w="941" w:type="dxa"/>
            <w:tcBorders>
              <w:top w:val="nil"/>
              <w:bottom w:val="nil"/>
              <w:right w:val="single" w:sz="16" w:space="0" w:color="000000"/>
            </w:tcBorders>
            <w:shd w:val="clear" w:color="auto" w:fill="FFFFFF"/>
          </w:tcPr>
          <w:p w:rsidR="00887DE5" w:rsidRPr="006B5E0E" w:rsidRDefault="00887DE5" w:rsidP="006B5E0E">
            <w:pPr>
              <w:widowControl w:val="0"/>
              <w:autoSpaceDE w:val="0"/>
              <w:autoSpaceDN w:val="0"/>
              <w:adjustRightInd w:val="0"/>
              <w:spacing w:after="0" w:line="480" w:lineRule="auto"/>
              <w:ind w:left="60" w:right="60"/>
              <w:jc w:val="right"/>
              <w:rPr>
                <w:rFonts w:ascii="Times New Roman" w:eastAsiaTheme="minorEastAsia" w:hAnsi="Times New Roman"/>
                <w:color w:val="000000"/>
                <w:sz w:val="24"/>
                <w:szCs w:val="24"/>
                <w:lang w:eastAsia="en-US"/>
              </w:rPr>
            </w:pPr>
            <w:r w:rsidRPr="006B5E0E">
              <w:rPr>
                <w:rFonts w:ascii="Times New Roman" w:eastAsiaTheme="minorEastAsia" w:hAnsi="Times New Roman"/>
                <w:color w:val="000000"/>
                <w:sz w:val="24"/>
                <w:szCs w:val="24"/>
                <w:lang w:eastAsia="en-US"/>
              </w:rPr>
              <w:t>.000</w:t>
            </w:r>
          </w:p>
        </w:tc>
      </w:tr>
      <w:tr w:rsidR="00887DE5" w:rsidRPr="006B5E0E" w:rsidTr="00773316">
        <w:trPr>
          <w:cantSplit/>
        </w:trPr>
        <w:tc>
          <w:tcPr>
            <w:tcW w:w="3014" w:type="dxa"/>
            <w:vMerge/>
            <w:tcBorders>
              <w:top w:val="nil"/>
              <w:left w:val="single" w:sz="16" w:space="0" w:color="000000"/>
              <w:bottom w:val="single" w:sz="16" w:space="0" w:color="000000"/>
              <w:right w:val="nil"/>
            </w:tcBorders>
            <w:shd w:val="clear" w:color="auto" w:fill="FFFFFF"/>
            <w:vAlign w:val="center"/>
          </w:tcPr>
          <w:p w:rsidR="00887DE5" w:rsidRPr="006B5E0E" w:rsidRDefault="00887DE5" w:rsidP="006B5E0E">
            <w:pPr>
              <w:widowControl w:val="0"/>
              <w:autoSpaceDE w:val="0"/>
              <w:autoSpaceDN w:val="0"/>
              <w:adjustRightInd w:val="0"/>
              <w:spacing w:after="0" w:line="480" w:lineRule="auto"/>
              <w:rPr>
                <w:rFonts w:ascii="Times New Roman" w:eastAsiaTheme="minorEastAsia" w:hAnsi="Times New Roman"/>
                <w:color w:val="000000"/>
                <w:sz w:val="24"/>
                <w:szCs w:val="24"/>
                <w:lang w:eastAsia="en-US"/>
              </w:rPr>
            </w:pPr>
          </w:p>
        </w:tc>
        <w:tc>
          <w:tcPr>
            <w:tcW w:w="1337" w:type="dxa"/>
            <w:tcBorders>
              <w:top w:val="nil"/>
              <w:left w:val="nil"/>
              <w:bottom w:val="nil"/>
              <w:right w:val="single" w:sz="16" w:space="0" w:color="000000"/>
            </w:tcBorders>
            <w:shd w:val="clear" w:color="auto" w:fill="FFFFFF"/>
            <w:vAlign w:val="center"/>
          </w:tcPr>
          <w:p w:rsidR="00887DE5" w:rsidRPr="006B5E0E" w:rsidRDefault="00887DE5" w:rsidP="006B5E0E">
            <w:pPr>
              <w:widowControl w:val="0"/>
              <w:autoSpaceDE w:val="0"/>
              <w:autoSpaceDN w:val="0"/>
              <w:adjustRightInd w:val="0"/>
              <w:spacing w:after="0" w:line="480" w:lineRule="auto"/>
              <w:ind w:left="60" w:right="60"/>
              <w:rPr>
                <w:rFonts w:ascii="Times New Roman" w:eastAsiaTheme="minorEastAsia" w:hAnsi="Times New Roman"/>
                <w:color w:val="000000"/>
                <w:sz w:val="24"/>
                <w:szCs w:val="24"/>
                <w:lang w:eastAsia="en-US"/>
              </w:rPr>
            </w:pPr>
            <w:r w:rsidRPr="006B5E0E">
              <w:rPr>
                <w:rFonts w:ascii="Times New Roman" w:eastAsiaTheme="minorEastAsia" w:hAnsi="Times New Roman"/>
                <w:color w:val="000000"/>
                <w:sz w:val="24"/>
                <w:szCs w:val="24"/>
                <w:lang w:eastAsia="en-US"/>
              </w:rPr>
              <w:t>Within Groups</w:t>
            </w:r>
          </w:p>
        </w:tc>
        <w:tc>
          <w:tcPr>
            <w:tcW w:w="1562" w:type="dxa"/>
            <w:tcBorders>
              <w:top w:val="nil"/>
              <w:left w:val="single" w:sz="16" w:space="0" w:color="000000"/>
              <w:bottom w:val="nil"/>
            </w:tcBorders>
            <w:shd w:val="clear" w:color="auto" w:fill="FFFFFF"/>
          </w:tcPr>
          <w:p w:rsidR="00887DE5" w:rsidRPr="006B5E0E" w:rsidRDefault="00887DE5" w:rsidP="006B5E0E">
            <w:pPr>
              <w:widowControl w:val="0"/>
              <w:autoSpaceDE w:val="0"/>
              <w:autoSpaceDN w:val="0"/>
              <w:adjustRightInd w:val="0"/>
              <w:spacing w:after="0" w:line="480" w:lineRule="auto"/>
              <w:ind w:left="60" w:right="60"/>
              <w:jc w:val="right"/>
              <w:rPr>
                <w:rFonts w:ascii="Times New Roman" w:eastAsiaTheme="minorEastAsia" w:hAnsi="Times New Roman"/>
                <w:color w:val="000000"/>
                <w:sz w:val="24"/>
                <w:szCs w:val="24"/>
                <w:lang w:eastAsia="en-US"/>
              </w:rPr>
            </w:pPr>
            <w:r w:rsidRPr="006B5E0E">
              <w:rPr>
                <w:rFonts w:ascii="Times New Roman" w:eastAsiaTheme="minorEastAsia" w:hAnsi="Times New Roman"/>
                <w:color w:val="000000"/>
                <w:sz w:val="24"/>
                <w:szCs w:val="24"/>
                <w:lang w:eastAsia="en-US"/>
              </w:rPr>
              <w:t>318.431</w:t>
            </w:r>
          </w:p>
        </w:tc>
        <w:tc>
          <w:tcPr>
            <w:tcW w:w="1073" w:type="dxa"/>
            <w:tcBorders>
              <w:top w:val="nil"/>
              <w:bottom w:val="nil"/>
            </w:tcBorders>
            <w:shd w:val="clear" w:color="auto" w:fill="FFFFFF"/>
          </w:tcPr>
          <w:p w:rsidR="00887DE5" w:rsidRPr="006B5E0E" w:rsidRDefault="00887DE5" w:rsidP="006B5E0E">
            <w:pPr>
              <w:widowControl w:val="0"/>
              <w:autoSpaceDE w:val="0"/>
              <w:autoSpaceDN w:val="0"/>
              <w:adjustRightInd w:val="0"/>
              <w:spacing w:after="0" w:line="480" w:lineRule="auto"/>
              <w:ind w:left="60" w:right="60"/>
              <w:jc w:val="right"/>
              <w:rPr>
                <w:rFonts w:ascii="Times New Roman" w:eastAsiaTheme="minorEastAsia" w:hAnsi="Times New Roman"/>
                <w:color w:val="000000"/>
                <w:sz w:val="24"/>
                <w:szCs w:val="24"/>
                <w:lang w:eastAsia="en-US"/>
              </w:rPr>
            </w:pPr>
            <w:r w:rsidRPr="006B5E0E">
              <w:rPr>
                <w:rFonts w:ascii="Times New Roman" w:eastAsiaTheme="minorEastAsia" w:hAnsi="Times New Roman"/>
                <w:color w:val="000000"/>
                <w:sz w:val="24"/>
                <w:szCs w:val="24"/>
                <w:lang w:eastAsia="en-US"/>
              </w:rPr>
              <w:t>200</w:t>
            </w:r>
          </w:p>
        </w:tc>
        <w:tc>
          <w:tcPr>
            <w:tcW w:w="1581" w:type="dxa"/>
            <w:tcBorders>
              <w:top w:val="nil"/>
              <w:bottom w:val="nil"/>
            </w:tcBorders>
            <w:shd w:val="clear" w:color="auto" w:fill="FFFFFF"/>
          </w:tcPr>
          <w:p w:rsidR="00887DE5" w:rsidRPr="006B5E0E" w:rsidRDefault="00887DE5" w:rsidP="006B5E0E">
            <w:pPr>
              <w:widowControl w:val="0"/>
              <w:autoSpaceDE w:val="0"/>
              <w:autoSpaceDN w:val="0"/>
              <w:adjustRightInd w:val="0"/>
              <w:spacing w:after="0" w:line="480" w:lineRule="auto"/>
              <w:ind w:left="60" w:right="60"/>
              <w:jc w:val="right"/>
              <w:rPr>
                <w:rFonts w:ascii="Times New Roman" w:eastAsiaTheme="minorEastAsia" w:hAnsi="Times New Roman"/>
                <w:color w:val="000000"/>
                <w:sz w:val="24"/>
                <w:szCs w:val="24"/>
                <w:lang w:eastAsia="en-US"/>
              </w:rPr>
            </w:pPr>
            <w:r w:rsidRPr="006B5E0E">
              <w:rPr>
                <w:rFonts w:ascii="Times New Roman" w:eastAsiaTheme="minorEastAsia" w:hAnsi="Times New Roman"/>
                <w:color w:val="000000"/>
                <w:sz w:val="24"/>
                <w:szCs w:val="24"/>
                <w:lang w:eastAsia="en-US"/>
              </w:rPr>
              <w:t>1.592</w:t>
            </w:r>
          </w:p>
        </w:tc>
        <w:tc>
          <w:tcPr>
            <w:tcW w:w="771" w:type="dxa"/>
            <w:tcBorders>
              <w:top w:val="nil"/>
              <w:bottom w:val="nil"/>
            </w:tcBorders>
            <w:shd w:val="clear" w:color="auto" w:fill="FFFFFF"/>
          </w:tcPr>
          <w:p w:rsidR="00887DE5" w:rsidRPr="006B5E0E" w:rsidRDefault="00887DE5" w:rsidP="006B5E0E">
            <w:pPr>
              <w:widowControl w:val="0"/>
              <w:autoSpaceDE w:val="0"/>
              <w:autoSpaceDN w:val="0"/>
              <w:adjustRightInd w:val="0"/>
              <w:spacing w:after="0" w:line="480" w:lineRule="auto"/>
              <w:rPr>
                <w:rFonts w:ascii="Times New Roman" w:eastAsiaTheme="minorEastAsia" w:hAnsi="Times New Roman"/>
                <w:sz w:val="24"/>
                <w:szCs w:val="24"/>
                <w:lang w:eastAsia="en-US"/>
              </w:rPr>
            </w:pPr>
          </w:p>
        </w:tc>
        <w:tc>
          <w:tcPr>
            <w:tcW w:w="941" w:type="dxa"/>
            <w:tcBorders>
              <w:top w:val="nil"/>
              <w:bottom w:val="nil"/>
              <w:right w:val="single" w:sz="16" w:space="0" w:color="000000"/>
            </w:tcBorders>
            <w:shd w:val="clear" w:color="auto" w:fill="FFFFFF"/>
          </w:tcPr>
          <w:p w:rsidR="00887DE5" w:rsidRPr="006B5E0E" w:rsidRDefault="00887DE5" w:rsidP="006B5E0E">
            <w:pPr>
              <w:widowControl w:val="0"/>
              <w:autoSpaceDE w:val="0"/>
              <w:autoSpaceDN w:val="0"/>
              <w:adjustRightInd w:val="0"/>
              <w:spacing w:after="0" w:line="480" w:lineRule="auto"/>
              <w:rPr>
                <w:rFonts w:ascii="Times New Roman" w:eastAsiaTheme="minorEastAsia" w:hAnsi="Times New Roman"/>
                <w:sz w:val="24"/>
                <w:szCs w:val="24"/>
                <w:lang w:eastAsia="en-US"/>
              </w:rPr>
            </w:pPr>
          </w:p>
        </w:tc>
      </w:tr>
      <w:tr w:rsidR="00887DE5" w:rsidRPr="006B5E0E" w:rsidTr="00773316">
        <w:trPr>
          <w:cantSplit/>
        </w:trPr>
        <w:tc>
          <w:tcPr>
            <w:tcW w:w="3014" w:type="dxa"/>
            <w:vMerge/>
            <w:tcBorders>
              <w:top w:val="nil"/>
              <w:left w:val="single" w:sz="16" w:space="0" w:color="000000"/>
              <w:bottom w:val="single" w:sz="16" w:space="0" w:color="000000"/>
              <w:right w:val="nil"/>
            </w:tcBorders>
            <w:shd w:val="clear" w:color="auto" w:fill="FFFFFF"/>
            <w:vAlign w:val="center"/>
          </w:tcPr>
          <w:p w:rsidR="00887DE5" w:rsidRPr="006B5E0E" w:rsidRDefault="00887DE5" w:rsidP="006B5E0E">
            <w:pPr>
              <w:widowControl w:val="0"/>
              <w:autoSpaceDE w:val="0"/>
              <w:autoSpaceDN w:val="0"/>
              <w:adjustRightInd w:val="0"/>
              <w:spacing w:after="0" w:line="480" w:lineRule="auto"/>
              <w:rPr>
                <w:rFonts w:ascii="Times New Roman" w:eastAsiaTheme="minorEastAsia" w:hAnsi="Times New Roman"/>
                <w:sz w:val="24"/>
                <w:szCs w:val="24"/>
                <w:lang w:eastAsia="en-US"/>
              </w:rPr>
            </w:pPr>
          </w:p>
        </w:tc>
        <w:tc>
          <w:tcPr>
            <w:tcW w:w="1337" w:type="dxa"/>
            <w:tcBorders>
              <w:top w:val="nil"/>
              <w:left w:val="nil"/>
              <w:bottom w:val="single" w:sz="16" w:space="0" w:color="000000"/>
              <w:right w:val="single" w:sz="16" w:space="0" w:color="000000"/>
            </w:tcBorders>
            <w:shd w:val="clear" w:color="auto" w:fill="FFFFFF"/>
            <w:vAlign w:val="center"/>
          </w:tcPr>
          <w:p w:rsidR="00887DE5" w:rsidRPr="006B5E0E" w:rsidRDefault="00887DE5" w:rsidP="006B5E0E">
            <w:pPr>
              <w:widowControl w:val="0"/>
              <w:autoSpaceDE w:val="0"/>
              <w:autoSpaceDN w:val="0"/>
              <w:adjustRightInd w:val="0"/>
              <w:spacing w:after="0" w:line="480" w:lineRule="auto"/>
              <w:ind w:left="60" w:right="60"/>
              <w:rPr>
                <w:rFonts w:ascii="Times New Roman" w:eastAsiaTheme="minorEastAsia" w:hAnsi="Times New Roman"/>
                <w:color w:val="000000"/>
                <w:sz w:val="24"/>
                <w:szCs w:val="24"/>
                <w:lang w:eastAsia="en-US"/>
              </w:rPr>
            </w:pPr>
            <w:r w:rsidRPr="006B5E0E">
              <w:rPr>
                <w:rFonts w:ascii="Times New Roman" w:eastAsiaTheme="minorEastAsia" w:hAnsi="Times New Roman"/>
                <w:color w:val="000000"/>
                <w:sz w:val="24"/>
                <w:szCs w:val="24"/>
                <w:lang w:eastAsia="en-US"/>
              </w:rPr>
              <w:t>Total</w:t>
            </w:r>
          </w:p>
        </w:tc>
        <w:tc>
          <w:tcPr>
            <w:tcW w:w="1562" w:type="dxa"/>
            <w:tcBorders>
              <w:top w:val="nil"/>
              <w:left w:val="single" w:sz="16" w:space="0" w:color="000000"/>
              <w:bottom w:val="single" w:sz="16" w:space="0" w:color="000000"/>
            </w:tcBorders>
            <w:shd w:val="clear" w:color="auto" w:fill="FFFFFF"/>
          </w:tcPr>
          <w:p w:rsidR="00887DE5" w:rsidRPr="006B5E0E" w:rsidRDefault="00887DE5" w:rsidP="006B5E0E">
            <w:pPr>
              <w:widowControl w:val="0"/>
              <w:autoSpaceDE w:val="0"/>
              <w:autoSpaceDN w:val="0"/>
              <w:adjustRightInd w:val="0"/>
              <w:spacing w:after="0" w:line="480" w:lineRule="auto"/>
              <w:ind w:left="60" w:right="60"/>
              <w:jc w:val="right"/>
              <w:rPr>
                <w:rFonts w:ascii="Times New Roman" w:eastAsiaTheme="minorEastAsia" w:hAnsi="Times New Roman"/>
                <w:color w:val="000000"/>
                <w:sz w:val="24"/>
                <w:szCs w:val="24"/>
                <w:lang w:eastAsia="en-US"/>
              </w:rPr>
            </w:pPr>
            <w:r w:rsidRPr="006B5E0E">
              <w:rPr>
                <w:rFonts w:ascii="Times New Roman" w:eastAsiaTheme="minorEastAsia" w:hAnsi="Times New Roman"/>
                <w:color w:val="000000"/>
                <w:sz w:val="24"/>
                <w:szCs w:val="24"/>
                <w:lang w:eastAsia="en-US"/>
              </w:rPr>
              <w:t>516.353</w:t>
            </w:r>
          </w:p>
        </w:tc>
        <w:tc>
          <w:tcPr>
            <w:tcW w:w="1073" w:type="dxa"/>
            <w:tcBorders>
              <w:top w:val="nil"/>
              <w:bottom w:val="single" w:sz="16" w:space="0" w:color="000000"/>
            </w:tcBorders>
            <w:shd w:val="clear" w:color="auto" w:fill="FFFFFF"/>
          </w:tcPr>
          <w:p w:rsidR="00887DE5" w:rsidRPr="006B5E0E" w:rsidRDefault="00887DE5" w:rsidP="006B5E0E">
            <w:pPr>
              <w:widowControl w:val="0"/>
              <w:autoSpaceDE w:val="0"/>
              <w:autoSpaceDN w:val="0"/>
              <w:adjustRightInd w:val="0"/>
              <w:spacing w:after="0" w:line="480" w:lineRule="auto"/>
              <w:ind w:left="60" w:right="60"/>
              <w:jc w:val="right"/>
              <w:rPr>
                <w:rFonts w:ascii="Times New Roman" w:eastAsiaTheme="minorEastAsia" w:hAnsi="Times New Roman"/>
                <w:color w:val="000000"/>
                <w:sz w:val="24"/>
                <w:szCs w:val="24"/>
                <w:lang w:eastAsia="en-US"/>
              </w:rPr>
            </w:pPr>
            <w:r w:rsidRPr="006B5E0E">
              <w:rPr>
                <w:rFonts w:ascii="Times New Roman" w:eastAsiaTheme="minorEastAsia" w:hAnsi="Times New Roman"/>
                <w:color w:val="000000"/>
                <w:sz w:val="24"/>
                <w:szCs w:val="24"/>
                <w:lang w:eastAsia="en-US"/>
              </w:rPr>
              <w:t>203</w:t>
            </w:r>
          </w:p>
        </w:tc>
        <w:tc>
          <w:tcPr>
            <w:tcW w:w="1581" w:type="dxa"/>
            <w:tcBorders>
              <w:top w:val="nil"/>
              <w:bottom w:val="single" w:sz="16" w:space="0" w:color="000000"/>
            </w:tcBorders>
            <w:shd w:val="clear" w:color="auto" w:fill="FFFFFF"/>
          </w:tcPr>
          <w:p w:rsidR="00887DE5" w:rsidRPr="006B5E0E" w:rsidRDefault="00887DE5" w:rsidP="006B5E0E">
            <w:pPr>
              <w:widowControl w:val="0"/>
              <w:autoSpaceDE w:val="0"/>
              <w:autoSpaceDN w:val="0"/>
              <w:adjustRightInd w:val="0"/>
              <w:spacing w:after="0" w:line="480" w:lineRule="auto"/>
              <w:rPr>
                <w:rFonts w:ascii="Times New Roman" w:eastAsiaTheme="minorEastAsia" w:hAnsi="Times New Roman"/>
                <w:sz w:val="24"/>
                <w:szCs w:val="24"/>
                <w:lang w:eastAsia="en-US"/>
              </w:rPr>
            </w:pPr>
          </w:p>
        </w:tc>
        <w:tc>
          <w:tcPr>
            <w:tcW w:w="771" w:type="dxa"/>
            <w:tcBorders>
              <w:top w:val="nil"/>
              <w:bottom w:val="single" w:sz="16" w:space="0" w:color="000000"/>
            </w:tcBorders>
            <w:shd w:val="clear" w:color="auto" w:fill="FFFFFF"/>
          </w:tcPr>
          <w:p w:rsidR="00887DE5" w:rsidRPr="006B5E0E" w:rsidRDefault="00887DE5" w:rsidP="006B5E0E">
            <w:pPr>
              <w:widowControl w:val="0"/>
              <w:autoSpaceDE w:val="0"/>
              <w:autoSpaceDN w:val="0"/>
              <w:adjustRightInd w:val="0"/>
              <w:spacing w:after="0" w:line="480" w:lineRule="auto"/>
              <w:rPr>
                <w:rFonts w:ascii="Times New Roman" w:eastAsiaTheme="minorEastAsia" w:hAnsi="Times New Roman"/>
                <w:sz w:val="24"/>
                <w:szCs w:val="24"/>
                <w:lang w:eastAsia="en-US"/>
              </w:rPr>
            </w:pPr>
          </w:p>
        </w:tc>
        <w:tc>
          <w:tcPr>
            <w:tcW w:w="941" w:type="dxa"/>
            <w:tcBorders>
              <w:top w:val="nil"/>
              <w:bottom w:val="single" w:sz="16" w:space="0" w:color="000000"/>
              <w:right w:val="single" w:sz="16" w:space="0" w:color="000000"/>
            </w:tcBorders>
            <w:shd w:val="clear" w:color="auto" w:fill="FFFFFF"/>
          </w:tcPr>
          <w:p w:rsidR="00887DE5" w:rsidRPr="006B5E0E" w:rsidRDefault="00887DE5" w:rsidP="006B5E0E">
            <w:pPr>
              <w:widowControl w:val="0"/>
              <w:autoSpaceDE w:val="0"/>
              <w:autoSpaceDN w:val="0"/>
              <w:adjustRightInd w:val="0"/>
              <w:spacing w:after="0" w:line="480" w:lineRule="auto"/>
              <w:rPr>
                <w:rFonts w:ascii="Times New Roman" w:eastAsiaTheme="minorEastAsia" w:hAnsi="Times New Roman"/>
                <w:sz w:val="24"/>
                <w:szCs w:val="24"/>
                <w:lang w:eastAsia="en-US"/>
              </w:rPr>
            </w:pPr>
          </w:p>
        </w:tc>
      </w:tr>
    </w:tbl>
    <w:p w:rsidR="00887DE5" w:rsidRPr="006B5E0E" w:rsidRDefault="00887DE5" w:rsidP="006B5E0E">
      <w:pPr>
        <w:widowControl w:val="0"/>
        <w:autoSpaceDE w:val="0"/>
        <w:autoSpaceDN w:val="0"/>
        <w:adjustRightInd w:val="0"/>
        <w:spacing w:after="0" w:line="480" w:lineRule="auto"/>
        <w:rPr>
          <w:rFonts w:ascii="Times New Roman" w:eastAsiaTheme="minorEastAsia" w:hAnsi="Times New Roman"/>
          <w:sz w:val="24"/>
          <w:szCs w:val="24"/>
          <w:lang w:eastAsia="en-US"/>
        </w:rPr>
      </w:pPr>
    </w:p>
    <w:p w:rsidR="009B0B59" w:rsidRPr="006B5E0E" w:rsidRDefault="009B0B59" w:rsidP="00881587">
      <w:pPr>
        <w:spacing w:after="0" w:line="480" w:lineRule="auto"/>
        <w:rPr>
          <w:rFonts w:ascii="Times New Roman" w:eastAsiaTheme="minorEastAsia" w:hAnsi="Times New Roman"/>
          <w:sz w:val="24"/>
          <w:szCs w:val="24"/>
          <w:lang w:eastAsia="en-US"/>
        </w:rPr>
      </w:pPr>
    </w:p>
    <w:sectPr w:rsidR="009B0B59" w:rsidRPr="006B5E0E" w:rsidSect="00F14E6F">
      <w:footerReference w:type="even" r:id="rId19"/>
      <w:footerReference w:type="default" r:id="rId20"/>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1A2A" w:rsidRDefault="008E1A2A" w:rsidP="00F47290">
      <w:pPr>
        <w:spacing w:after="0"/>
      </w:pPr>
      <w:r>
        <w:separator/>
      </w:r>
    </w:p>
  </w:endnote>
  <w:endnote w:type="continuationSeparator" w:id="0">
    <w:p w:rsidR="008E1A2A" w:rsidRDefault="008E1A2A" w:rsidP="00F4729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yriad Pro SemiCond">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D9C" w:rsidRDefault="00D04E15" w:rsidP="006C75B4">
    <w:pPr>
      <w:pStyle w:val="Footer"/>
      <w:framePr w:wrap="around" w:vAnchor="text" w:hAnchor="margin" w:xAlign="right" w:y="1"/>
      <w:rPr>
        <w:rStyle w:val="PageNumber"/>
      </w:rPr>
    </w:pPr>
    <w:r>
      <w:rPr>
        <w:rStyle w:val="PageNumber"/>
      </w:rPr>
      <w:fldChar w:fldCharType="begin"/>
    </w:r>
    <w:r w:rsidR="00C31D9C">
      <w:rPr>
        <w:rStyle w:val="PageNumber"/>
      </w:rPr>
      <w:instrText xml:space="preserve">PAGE  </w:instrText>
    </w:r>
    <w:r>
      <w:rPr>
        <w:rStyle w:val="PageNumber"/>
      </w:rPr>
      <w:fldChar w:fldCharType="end"/>
    </w:r>
  </w:p>
  <w:p w:rsidR="00C31D9C" w:rsidRDefault="00C31D9C" w:rsidP="00F4729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D9C" w:rsidRDefault="00D04E15" w:rsidP="006C75B4">
    <w:pPr>
      <w:pStyle w:val="Footer"/>
      <w:framePr w:wrap="around" w:vAnchor="text" w:hAnchor="margin" w:xAlign="right" w:y="1"/>
      <w:rPr>
        <w:rStyle w:val="PageNumber"/>
      </w:rPr>
    </w:pPr>
    <w:r>
      <w:rPr>
        <w:rStyle w:val="PageNumber"/>
      </w:rPr>
      <w:fldChar w:fldCharType="begin"/>
    </w:r>
    <w:r w:rsidR="00C31D9C">
      <w:rPr>
        <w:rStyle w:val="PageNumber"/>
      </w:rPr>
      <w:instrText xml:space="preserve">PAGE  </w:instrText>
    </w:r>
    <w:r>
      <w:rPr>
        <w:rStyle w:val="PageNumber"/>
      </w:rPr>
      <w:fldChar w:fldCharType="separate"/>
    </w:r>
    <w:r w:rsidR="00773316">
      <w:rPr>
        <w:rStyle w:val="PageNumber"/>
        <w:noProof/>
      </w:rPr>
      <w:t>41</w:t>
    </w:r>
    <w:r>
      <w:rPr>
        <w:rStyle w:val="PageNumber"/>
      </w:rPr>
      <w:fldChar w:fldCharType="end"/>
    </w:r>
  </w:p>
  <w:p w:rsidR="00C31D9C" w:rsidRDefault="00C31D9C" w:rsidP="00F4729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1A2A" w:rsidRDefault="008E1A2A" w:rsidP="00F47290">
      <w:pPr>
        <w:spacing w:after="0"/>
      </w:pPr>
      <w:r>
        <w:separator/>
      </w:r>
    </w:p>
  </w:footnote>
  <w:footnote w:type="continuationSeparator" w:id="0">
    <w:p w:rsidR="008E1A2A" w:rsidRDefault="008E1A2A" w:rsidP="00F47290">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5266740A"/>
    <w:lvl w:ilvl="0">
      <w:start w:val="1"/>
      <w:numFmt w:val="bullet"/>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FCB1652"/>
    <w:multiLevelType w:val="hybridMultilevel"/>
    <w:tmpl w:val="5F3E5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774E71"/>
    <w:multiLevelType w:val="multilevel"/>
    <w:tmpl w:val="0F581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9231E9"/>
    <w:multiLevelType w:val="hybridMultilevel"/>
    <w:tmpl w:val="6E6C8C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D5414D"/>
    <w:multiLevelType w:val="hybridMultilevel"/>
    <w:tmpl w:val="AE54563C"/>
    <w:lvl w:ilvl="0" w:tplc="0409000B">
      <w:start w:val="5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BE1702"/>
    <w:multiLevelType w:val="hybridMultilevel"/>
    <w:tmpl w:val="B05AD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AC646E"/>
    <w:multiLevelType w:val="hybridMultilevel"/>
    <w:tmpl w:val="593E37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E31553"/>
    <w:multiLevelType w:val="hybridMultilevel"/>
    <w:tmpl w:val="593E37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BE0A8B"/>
    <w:multiLevelType w:val="hybridMultilevel"/>
    <w:tmpl w:val="428EC8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057D1E"/>
    <w:multiLevelType w:val="hybridMultilevel"/>
    <w:tmpl w:val="722EA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B7B1097"/>
    <w:multiLevelType w:val="hybridMultilevel"/>
    <w:tmpl w:val="56A68D7C"/>
    <w:lvl w:ilvl="0" w:tplc="FD763B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3DE49DB"/>
    <w:multiLevelType w:val="hybridMultilevel"/>
    <w:tmpl w:val="593E37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D44740A"/>
    <w:multiLevelType w:val="hybridMultilevel"/>
    <w:tmpl w:val="264A6D12"/>
    <w:lvl w:ilvl="0" w:tplc="287EE6E2">
      <w:start w:val="50"/>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11"/>
  </w:num>
  <w:num w:numId="3">
    <w:abstractNumId w:val="8"/>
  </w:num>
  <w:num w:numId="4">
    <w:abstractNumId w:val="9"/>
  </w:num>
  <w:num w:numId="5">
    <w:abstractNumId w:val="3"/>
  </w:num>
  <w:num w:numId="6">
    <w:abstractNumId w:val="7"/>
  </w:num>
  <w:num w:numId="7">
    <w:abstractNumId w:val="1"/>
  </w:num>
  <w:num w:numId="8">
    <w:abstractNumId w:val="0"/>
  </w:num>
  <w:num w:numId="9">
    <w:abstractNumId w:val="5"/>
  </w:num>
  <w:num w:numId="10">
    <w:abstractNumId w:val="4"/>
  </w:num>
  <w:num w:numId="11">
    <w:abstractNumId w:val="12"/>
  </w:num>
  <w:num w:numId="12">
    <w:abstractNumId w:val="10"/>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
  <w:rsids>
    <w:rsidRoot w:val="00C863EC"/>
    <w:rsid w:val="0000041F"/>
    <w:rsid w:val="0000193C"/>
    <w:rsid w:val="00006DF6"/>
    <w:rsid w:val="00031CE9"/>
    <w:rsid w:val="0004284D"/>
    <w:rsid w:val="0005063B"/>
    <w:rsid w:val="00057926"/>
    <w:rsid w:val="00061802"/>
    <w:rsid w:val="00061F6F"/>
    <w:rsid w:val="00067937"/>
    <w:rsid w:val="0007387C"/>
    <w:rsid w:val="00096256"/>
    <w:rsid w:val="000A0FB0"/>
    <w:rsid w:val="000A318D"/>
    <w:rsid w:val="000A61A7"/>
    <w:rsid w:val="000A7E7A"/>
    <w:rsid w:val="000B363D"/>
    <w:rsid w:val="000B4B05"/>
    <w:rsid w:val="000B5F37"/>
    <w:rsid w:val="000C15E8"/>
    <w:rsid w:val="000D2ADA"/>
    <w:rsid w:val="000D3C5A"/>
    <w:rsid w:val="000D50A2"/>
    <w:rsid w:val="000D6238"/>
    <w:rsid w:val="000E16CB"/>
    <w:rsid w:val="000F0349"/>
    <w:rsid w:val="000F7D4A"/>
    <w:rsid w:val="00100E05"/>
    <w:rsid w:val="00111200"/>
    <w:rsid w:val="00112A30"/>
    <w:rsid w:val="0014124A"/>
    <w:rsid w:val="00141860"/>
    <w:rsid w:val="0016413E"/>
    <w:rsid w:val="00167EDA"/>
    <w:rsid w:val="00167F8A"/>
    <w:rsid w:val="0017653D"/>
    <w:rsid w:val="00184410"/>
    <w:rsid w:val="001870FA"/>
    <w:rsid w:val="00194DFF"/>
    <w:rsid w:val="001B45D6"/>
    <w:rsid w:val="001C13BF"/>
    <w:rsid w:val="001C1E6D"/>
    <w:rsid w:val="001C4976"/>
    <w:rsid w:val="001D2354"/>
    <w:rsid w:val="001D5464"/>
    <w:rsid w:val="001E5E24"/>
    <w:rsid w:val="001F71AF"/>
    <w:rsid w:val="00202E81"/>
    <w:rsid w:val="00205F70"/>
    <w:rsid w:val="002104D3"/>
    <w:rsid w:val="0022112D"/>
    <w:rsid w:val="002324BC"/>
    <w:rsid w:val="0023333A"/>
    <w:rsid w:val="0023778F"/>
    <w:rsid w:val="0024138D"/>
    <w:rsid w:val="0024704D"/>
    <w:rsid w:val="00257E3C"/>
    <w:rsid w:val="00266076"/>
    <w:rsid w:val="0028383E"/>
    <w:rsid w:val="002A7D79"/>
    <w:rsid w:val="002C0401"/>
    <w:rsid w:val="002C67F9"/>
    <w:rsid w:val="002D02AA"/>
    <w:rsid w:val="002D29C0"/>
    <w:rsid w:val="002D7210"/>
    <w:rsid w:val="00306D32"/>
    <w:rsid w:val="00316752"/>
    <w:rsid w:val="003303D7"/>
    <w:rsid w:val="003405D8"/>
    <w:rsid w:val="0035136E"/>
    <w:rsid w:val="00353405"/>
    <w:rsid w:val="00360C3D"/>
    <w:rsid w:val="00361074"/>
    <w:rsid w:val="00363569"/>
    <w:rsid w:val="003665CA"/>
    <w:rsid w:val="00374E89"/>
    <w:rsid w:val="0038372D"/>
    <w:rsid w:val="00384AA0"/>
    <w:rsid w:val="00390E21"/>
    <w:rsid w:val="003B45D8"/>
    <w:rsid w:val="003B6329"/>
    <w:rsid w:val="003C7D0F"/>
    <w:rsid w:val="003D47EA"/>
    <w:rsid w:val="003D4A9B"/>
    <w:rsid w:val="003E7CC4"/>
    <w:rsid w:val="004001F5"/>
    <w:rsid w:val="004127B1"/>
    <w:rsid w:val="00420E4D"/>
    <w:rsid w:val="00422E9B"/>
    <w:rsid w:val="0042776D"/>
    <w:rsid w:val="00437275"/>
    <w:rsid w:val="00444A7C"/>
    <w:rsid w:val="0044644A"/>
    <w:rsid w:val="004514A4"/>
    <w:rsid w:val="00452C6C"/>
    <w:rsid w:val="0047288B"/>
    <w:rsid w:val="00473BB0"/>
    <w:rsid w:val="00476A6A"/>
    <w:rsid w:val="00476EBA"/>
    <w:rsid w:val="004801C5"/>
    <w:rsid w:val="00487E4B"/>
    <w:rsid w:val="00496A27"/>
    <w:rsid w:val="004A0DCD"/>
    <w:rsid w:val="004A2032"/>
    <w:rsid w:val="004B46B0"/>
    <w:rsid w:val="004B781C"/>
    <w:rsid w:val="004C4A21"/>
    <w:rsid w:val="004E2974"/>
    <w:rsid w:val="004E4B28"/>
    <w:rsid w:val="004E4E04"/>
    <w:rsid w:val="004E66B2"/>
    <w:rsid w:val="004F08EF"/>
    <w:rsid w:val="004F1CBA"/>
    <w:rsid w:val="004F78F6"/>
    <w:rsid w:val="0053107D"/>
    <w:rsid w:val="00553E96"/>
    <w:rsid w:val="00562AEE"/>
    <w:rsid w:val="00572527"/>
    <w:rsid w:val="00580190"/>
    <w:rsid w:val="00593F09"/>
    <w:rsid w:val="005B42D1"/>
    <w:rsid w:val="005B5750"/>
    <w:rsid w:val="005C46B9"/>
    <w:rsid w:val="005D0833"/>
    <w:rsid w:val="005E1081"/>
    <w:rsid w:val="005E1337"/>
    <w:rsid w:val="005E4135"/>
    <w:rsid w:val="005E6A83"/>
    <w:rsid w:val="005F0C1B"/>
    <w:rsid w:val="005F686A"/>
    <w:rsid w:val="00613413"/>
    <w:rsid w:val="00616AA9"/>
    <w:rsid w:val="00616D5B"/>
    <w:rsid w:val="006251CE"/>
    <w:rsid w:val="00640C93"/>
    <w:rsid w:val="006449B3"/>
    <w:rsid w:val="00650386"/>
    <w:rsid w:val="00656AEF"/>
    <w:rsid w:val="00656E1E"/>
    <w:rsid w:val="00680DD3"/>
    <w:rsid w:val="00696A55"/>
    <w:rsid w:val="006A3F6E"/>
    <w:rsid w:val="006A5ABC"/>
    <w:rsid w:val="006B4D67"/>
    <w:rsid w:val="006B5E0E"/>
    <w:rsid w:val="006B6A3C"/>
    <w:rsid w:val="006C63EC"/>
    <w:rsid w:val="006C64AF"/>
    <w:rsid w:val="006C75B4"/>
    <w:rsid w:val="006D28E5"/>
    <w:rsid w:val="00707536"/>
    <w:rsid w:val="0071456B"/>
    <w:rsid w:val="00720054"/>
    <w:rsid w:val="00734719"/>
    <w:rsid w:val="00773316"/>
    <w:rsid w:val="00777E78"/>
    <w:rsid w:val="007A4879"/>
    <w:rsid w:val="007B5AA4"/>
    <w:rsid w:val="007C160D"/>
    <w:rsid w:val="007C1632"/>
    <w:rsid w:val="007C2A6F"/>
    <w:rsid w:val="007C6334"/>
    <w:rsid w:val="007C7EB9"/>
    <w:rsid w:val="007D3910"/>
    <w:rsid w:val="007D4730"/>
    <w:rsid w:val="007D548A"/>
    <w:rsid w:val="007D6B53"/>
    <w:rsid w:val="007E110B"/>
    <w:rsid w:val="007F2971"/>
    <w:rsid w:val="007F515F"/>
    <w:rsid w:val="0080115A"/>
    <w:rsid w:val="008022AF"/>
    <w:rsid w:val="00805EE0"/>
    <w:rsid w:val="00810536"/>
    <w:rsid w:val="00812421"/>
    <w:rsid w:val="00813C80"/>
    <w:rsid w:val="00826E7A"/>
    <w:rsid w:val="00831BB5"/>
    <w:rsid w:val="00835B23"/>
    <w:rsid w:val="008621D7"/>
    <w:rsid w:val="00864847"/>
    <w:rsid w:val="00866AD9"/>
    <w:rsid w:val="00867F0F"/>
    <w:rsid w:val="0087799C"/>
    <w:rsid w:val="00881587"/>
    <w:rsid w:val="00887DE5"/>
    <w:rsid w:val="008965AC"/>
    <w:rsid w:val="008A5CBC"/>
    <w:rsid w:val="008B1C86"/>
    <w:rsid w:val="008B34FB"/>
    <w:rsid w:val="008C03FD"/>
    <w:rsid w:val="008D746B"/>
    <w:rsid w:val="008E1A2A"/>
    <w:rsid w:val="008E5F50"/>
    <w:rsid w:val="008F6432"/>
    <w:rsid w:val="00903EB7"/>
    <w:rsid w:val="00924ECC"/>
    <w:rsid w:val="00926051"/>
    <w:rsid w:val="00926A2A"/>
    <w:rsid w:val="0093131D"/>
    <w:rsid w:val="00941D64"/>
    <w:rsid w:val="00950499"/>
    <w:rsid w:val="00955CAE"/>
    <w:rsid w:val="0097384F"/>
    <w:rsid w:val="00977949"/>
    <w:rsid w:val="00977F42"/>
    <w:rsid w:val="00982012"/>
    <w:rsid w:val="00987155"/>
    <w:rsid w:val="0099142F"/>
    <w:rsid w:val="009A37E4"/>
    <w:rsid w:val="009A5191"/>
    <w:rsid w:val="009A6E46"/>
    <w:rsid w:val="009B0B59"/>
    <w:rsid w:val="009B3D77"/>
    <w:rsid w:val="009B649F"/>
    <w:rsid w:val="009C26EA"/>
    <w:rsid w:val="009C4E95"/>
    <w:rsid w:val="009D4424"/>
    <w:rsid w:val="009E2B1C"/>
    <w:rsid w:val="009F04A4"/>
    <w:rsid w:val="009F3ACB"/>
    <w:rsid w:val="009F4719"/>
    <w:rsid w:val="009F4FF2"/>
    <w:rsid w:val="00A05F7A"/>
    <w:rsid w:val="00A117E4"/>
    <w:rsid w:val="00A11A9C"/>
    <w:rsid w:val="00A22211"/>
    <w:rsid w:val="00A233AD"/>
    <w:rsid w:val="00A258B5"/>
    <w:rsid w:val="00A32FE2"/>
    <w:rsid w:val="00A37D9A"/>
    <w:rsid w:val="00A501CE"/>
    <w:rsid w:val="00A50AEB"/>
    <w:rsid w:val="00A61DBE"/>
    <w:rsid w:val="00A63DF2"/>
    <w:rsid w:val="00A847D8"/>
    <w:rsid w:val="00AA4A67"/>
    <w:rsid w:val="00AB78FB"/>
    <w:rsid w:val="00AC42EA"/>
    <w:rsid w:val="00AE11C6"/>
    <w:rsid w:val="00AE6C4F"/>
    <w:rsid w:val="00AF030D"/>
    <w:rsid w:val="00B00A9D"/>
    <w:rsid w:val="00B01D6D"/>
    <w:rsid w:val="00B41D9A"/>
    <w:rsid w:val="00B42D95"/>
    <w:rsid w:val="00B47655"/>
    <w:rsid w:val="00B62C9E"/>
    <w:rsid w:val="00B70DCD"/>
    <w:rsid w:val="00B758BC"/>
    <w:rsid w:val="00BC2F18"/>
    <w:rsid w:val="00BD1DAE"/>
    <w:rsid w:val="00BE2904"/>
    <w:rsid w:val="00BE3AEF"/>
    <w:rsid w:val="00C114A9"/>
    <w:rsid w:val="00C169BE"/>
    <w:rsid w:val="00C31D9C"/>
    <w:rsid w:val="00C36B8B"/>
    <w:rsid w:val="00C624A5"/>
    <w:rsid w:val="00C650FA"/>
    <w:rsid w:val="00C72559"/>
    <w:rsid w:val="00C74F20"/>
    <w:rsid w:val="00C863EC"/>
    <w:rsid w:val="00C939C1"/>
    <w:rsid w:val="00C93A4A"/>
    <w:rsid w:val="00CD3C16"/>
    <w:rsid w:val="00CE08DB"/>
    <w:rsid w:val="00CE17B2"/>
    <w:rsid w:val="00D04E15"/>
    <w:rsid w:val="00D240EC"/>
    <w:rsid w:val="00D25AE3"/>
    <w:rsid w:val="00D325F8"/>
    <w:rsid w:val="00D33AF3"/>
    <w:rsid w:val="00D3512C"/>
    <w:rsid w:val="00D35449"/>
    <w:rsid w:val="00D40396"/>
    <w:rsid w:val="00D42881"/>
    <w:rsid w:val="00D4730F"/>
    <w:rsid w:val="00D65CA5"/>
    <w:rsid w:val="00D726D2"/>
    <w:rsid w:val="00D84D2E"/>
    <w:rsid w:val="00D904CA"/>
    <w:rsid w:val="00D96BF6"/>
    <w:rsid w:val="00DA045F"/>
    <w:rsid w:val="00DA6B28"/>
    <w:rsid w:val="00DD6FAC"/>
    <w:rsid w:val="00DE6D9D"/>
    <w:rsid w:val="00DF75A8"/>
    <w:rsid w:val="00E03C57"/>
    <w:rsid w:val="00E07B0A"/>
    <w:rsid w:val="00E11FF5"/>
    <w:rsid w:val="00E17E52"/>
    <w:rsid w:val="00E24055"/>
    <w:rsid w:val="00E32F1C"/>
    <w:rsid w:val="00E337B8"/>
    <w:rsid w:val="00E51F90"/>
    <w:rsid w:val="00E546DB"/>
    <w:rsid w:val="00E66248"/>
    <w:rsid w:val="00E72ADA"/>
    <w:rsid w:val="00E75BFA"/>
    <w:rsid w:val="00E86F2D"/>
    <w:rsid w:val="00E9073F"/>
    <w:rsid w:val="00E96143"/>
    <w:rsid w:val="00EA464F"/>
    <w:rsid w:val="00EC4A86"/>
    <w:rsid w:val="00ED0A6D"/>
    <w:rsid w:val="00ED57B7"/>
    <w:rsid w:val="00EF51DA"/>
    <w:rsid w:val="00F032D2"/>
    <w:rsid w:val="00F14284"/>
    <w:rsid w:val="00F14E6F"/>
    <w:rsid w:val="00F24E1A"/>
    <w:rsid w:val="00F2530A"/>
    <w:rsid w:val="00F26AA4"/>
    <w:rsid w:val="00F32190"/>
    <w:rsid w:val="00F3251D"/>
    <w:rsid w:val="00F355F6"/>
    <w:rsid w:val="00F47290"/>
    <w:rsid w:val="00F55B03"/>
    <w:rsid w:val="00F6126F"/>
    <w:rsid w:val="00F73004"/>
    <w:rsid w:val="00F73699"/>
    <w:rsid w:val="00F75CEB"/>
    <w:rsid w:val="00F82922"/>
    <w:rsid w:val="00F87BAC"/>
    <w:rsid w:val="00FA7D95"/>
    <w:rsid w:val="00FB3CB9"/>
    <w:rsid w:val="00FC6249"/>
    <w:rsid w:val="00FE4E74"/>
    <w:rsid w:val="00FE5852"/>
    <w:rsid w:val="00FE5DFE"/>
    <w:rsid w:val="00FF73CA"/>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3EC"/>
    <w:pPr>
      <w:spacing w:after="200"/>
    </w:pPr>
    <w:rPr>
      <w:rFonts w:ascii="Calibri" w:eastAsia="PMingLiU" w:hAnsi="Calibri" w:cs="Times New Roman"/>
      <w:sz w:val="22"/>
      <w:szCs w:val="22"/>
      <w:lang w:eastAsia="zh-TW"/>
    </w:rPr>
  </w:style>
  <w:style w:type="paragraph" w:styleId="Heading1">
    <w:name w:val="heading 1"/>
    <w:basedOn w:val="Normal"/>
    <w:link w:val="Heading1Char"/>
    <w:uiPriority w:val="9"/>
    <w:qFormat/>
    <w:rsid w:val="00C863EC"/>
    <w:pPr>
      <w:spacing w:before="100" w:beforeAutospacing="1" w:after="100" w:afterAutospacing="1"/>
      <w:jc w:val="center"/>
      <w:outlineLvl w:val="0"/>
    </w:pPr>
    <w:rPr>
      <w:rFonts w:ascii="Arial" w:eastAsia="Times New Roman" w:hAnsi="Arial"/>
      <w:b/>
      <w:bCs/>
      <w:kern w:val="36"/>
      <w:sz w:val="24"/>
      <w:szCs w:val="24"/>
    </w:rPr>
  </w:style>
  <w:style w:type="paragraph" w:styleId="Heading2">
    <w:name w:val="heading 2"/>
    <w:basedOn w:val="Normal"/>
    <w:next w:val="Normal"/>
    <w:link w:val="Heading2Char"/>
    <w:uiPriority w:val="9"/>
    <w:unhideWhenUsed/>
    <w:qFormat/>
    <w:rsid w:val="00C863EC"/>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E75BF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63EC"/>
    <w:rPr>
      <w:rFonts w:ascii="Arial" w:eastAsia="Times New Roman" w:hAnsi="Arial" w:cs="Times New Roman"/>
      <w:b/>
      <w:bCs/>
      <w:kern w:val="36"/>
    </w:rPr>
  </w:style>
  <w:style w:type="character" w:customStyle="1" w:styleId="Heading2Char">
    <w:name w:val="Heading 2 Char"/>
    <w:basedOn w:val="DefaultParagraphFont"/>
    <w:link w:val="Heading2"/>
    <w:uiPriority w:val="9"/>
    <w:rsid w:val="00C863EC"/>
    <w:rPr>
      <w:rFonts w:asciiTheme="majorHAnsi" w:eastAsiaTheme="majorEastAsia" w:hAnsiTheme="majorHAnsi" w:cstheme="majorBidi"/>
      <w:b/>
      <w:bCs/>
      <w:i/>
      <w:iCs/>
      <w:sz w:val="28"/>
      <w:szCs w:val="28"/>
      <w:lang w:eastAsia="zh-TW"/>
    </w:rPr>
  </w:style>
  <w:style w:type="character" w:styleId="Hyperlink">
    <w:name w:val="Hyperlink"/>
    <w:uiPriority w:val="99"/>
    <w:unhideWhenUsed/>
    <w:rsid w:val="00C863EC"/>
    <w:rPr>
      <w:color w:val="0000FF"/>
      <w:u w:val="single"/>
    </w:rPr>
  </w:style>
  <w:style w:type="character" w:customStyle="1" w:styleId="authors">
    <w:name w:val="authors"/>
    <w:rsid w:val="00C863EC"/>
  </w:style>
  <w:style w:type="paragraph" w:customStyle="1" w:styleId="NoteLevel21">
    <w:name w:val="Note Level 21"/>
    <w:basedOn w:val="Normal"/>
    <w:uiPriority w:val="1"/>
    <w:qFormat/>
    <w:rsid w:val="00C863EC"/>
    <w:pPr>
      <w:keepNext/>
      <w:numPr>
        <w:ilvl w:val="1"/>
        <w:numId w:val="8"/>
      </w:numPr>
      <w:contextualSpacing/>
      <w:outlineLvl w:val="1"/>
    </w:pPr>
    <w:rPr>
      <w:rFonts w:ascii="Verdana" w:hAnsi="Verdana"/>
    </w:rPr>
  </w:style>
  <w:style w:type="paragraph" w:styleId="NormalWeb">
    <w:name w:val="Normal (Web)"/>
    <w:basedOn w:val="Normal"/>
    <w:uiPriority w:val="99"/>
    <w:unhideWhenUsed/>
    <w:rsid w:val="00F47290"/>
    <w:pPr>
      <w:spacing w:before="100" w:beforeAutospacing="1" w:after="100" w:afterAutospacing="1"/>
    </w:pPr>
    <w:rPr>
      <w:rFonts w:ascii="Times New Roman" w:eastAsia="Times New Roman" w:hAnsi="Times New Roman"/>
      <w:color w:val="000000"/>
      <w:sz w:val="24"/>
      <w:szCs w:val="24"/>
    </w:rPr>
  </w:style>
  <w:style w:type="character" w:styleId="Emphasis">
    <w:name w:val="Emphasis"/>
    <w:uiPriority w:val="20"/>
    <w:qFormat/>
    <w:rsid w:val="00F47290"/>
    <w:rPr>
      <w:i/>
      <w:iCs/>
    </w:rPr>
  </w:style>
  <w:style w:type="character" w:styleId="Strong">
    <w:name w:val="Strong"/>
    <w:uiPriority w:val="22"/>
    <w:qFormat/>
    <w:rsid w:val="00F47290"/>
    <w:rPr>
      <w:b/>
      <w:bCs/>
    </w:rPr>
  </w:style>
  <w:style w:type="character" w:customStyle="1" w:styleId="a-size-large">
    <w:name w:val="a-size-large"/>
    <w:rsid w:val="00F47290"/>
  </w:style>
  <w:style w:type="paragraph" w:styleId="Footer">
    <w:name w:val="footer"/>
    <w:basedOn w:val="Normal"/>
    <w:link w:val="FooterChar"/>
    <w:uiPriority w:val="99"/>
    <w:unhideWhenUsed/>
    <w:rsid w:val="00F47290"/>
    <w:pPr>
      <w:tabs>
        <w:tab w:val="center" w:pos="4320"/>
        <w:tab w:val="right" w:pos="8640"/>
      </w:tabs>
      <w:spacing w:after="0"/>
    </w:pPr>
  </w:style>
  <w:style w:type="character" w:customStyle="1" w:styleId="FooterChar">
    <w:name w:val="Footer Char"/>
    <w:basedOn w:val="DefaultParagraphFont"/>
    <w:link w:val="Footer"/>
    <w:uiPriority w:val="99"/>
    <w:rsid w:val="00F47290"/>
    <w:rPr>
      <w:rFonts w:ascii="Calibri" w:eastAsia="PMingLiU" w:hAnsi="Calibri" w:cs="Times New Roman"/>
      <w:sz w:val="22"/>
      <w:szCs w:val="22"/>
      <w:lang w:eastAsia="zh-TW"/>
    </w:rPr>
  </w:style>
  <w:style w:type="character" w:styleId="PageNumber">
    <w:name w:val="page number"/>
    <w:basedOn w:val="DefaultParagraphFont"/>
    <w:uiPriority w:val="99"/>
    <w:semiHidden/>
    <w:unhideWhenUsed/>
    <w:rsid w:val="00F47290"/>
  </w:style>
  <w:style w:type="character" w:customStyle="1" w:styleId="Heading3Char">
    <w:name w:val="Heading 3 Char"/>
    <w:basedOn w:val="DefaultParagraphFont"/>
    <w:link w:val="Heading3"/>
    <w:uiPriority w:val="9"/>
    <w:rsid w:val="00E75BFA"/>
    <w:rPr>
      <w:rFonts w:asciiTheme="majorHAnsi" w:eastAsiaTheme="majorEastAsia" w:hAnsiTheme="majorHAnsi" w:cstheme="majorBidi"/>
      <w:b/>
      <w:bCs/>
      <w:color w:val="4F81BD" w:themeColor="accent1"/>
      <w:sz w:val="22"/>
      <w:szCs w:val="22"/>
      <w:lang w:eastAsia="zh-TW"/>
    </w:rPr>
  </w:style>
  <w:style w:type="paragraph" w:customStyle="1" w:styleId="Default">
    <w:name w:val="Default"/>
    <w:rsid w:val="003405D8"/>
    <w:pPr>
      <w:autoSpaceDE w:val="0"/>
      <w:autoSpaceDN w:val="0"/>
      <w:adjustRightInd w:val="0"/>
    </w:pPr>
    <w:rPr>
      <w:rFonts w:ascii="Myriad Pro SemiCond" w:hAnsi="Myriad Pro SemiCond" w:cs="Myriad Pro SemiCond"/>
      <w:color w:val="000000"/>
    </w:rPr>
  </w:style>
  <w:style w:type="paragraph" w:customStyle="1" w:styleId="Pa2">
    <w:name w:val="Pa2"/>
    <w:basedOn w:val="Default"/>
    <w:next w:val="Default"/>
    <w:uiPriority w:val="99"/>
    <w:rsid w:val="003405D8"/>
    <w:pPr>
      <w:spacing w:line="161" w:lineRule="atLeast"/>
    </w:pPr>
    <w:rPr>
      <w:rFonts w:cstheme="minorBidi"/>
      <w:color w:val="auto"/>
    </w:rPr>
  </w:style>
  <w:style w:type="paragraph" w:styleId="ListParagraph">
    <w:name w:val="List Paragraph"/>
    <w:basedOn w:val="Normal"/>
    <w:uiPriority w:val="34"/>
    <w:qFormat/>
    <w:rsid w:val="00D240EC"/>
    <w:pPr>
      <w:ind w:left="720"/>
      <w:contextualSpacing/>
    </w:pPr>
  </w:style>
  <w:style w:type="character" w:customStyle="1" w:styleId="rwrro">
    <w:name w:val="rwrro"/>
    <w:basedOn w:val="DefaultParagraphFont"/>
    <w:rsid w:val="00A11A9C"/>
  </w:style>
  <w:style w:type="character" w:customStyle="1" w:styleId="apple-converted-space">
    <w:name w:val="apple-converted-space"/>
    <w:basedOn w:val="DefaultParagraphFont"/>
    <w:rsid w:val="00A11A9C"/>
  </w:style>
  <w:style w:type="character" w:styleId="HTMLCite">
    <w:name w:val="HTML Cite"/>
    <w:basedOn w:val="DefaultParagraphFont"/>
    <w:uiPriority w:val="99"/>
    <w:semiHidden/>
    <w:unhideWhenUsed/>
    <w:rsid w:val="004E4B28"/>
    <w:rPr>
      <w:i/>
      <w:iCs/>
    </w:rPr>
  </w:style>
  <w:style w:type="paragraph" w:styleId="BalloonText">
    <w:name w:val="Balloon Text"/>
    <w:basedOn w:val="Normal"/>
    <w:link w:val="BalloonTextChar"/>
    <w:uiPriority w:val="99"/>
    <w:semiHidden/>
    <w:unhideWhenUsed/>
    <w:rsid w:val="005E108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1081"/>
    <w:rPr>
      <w:rFonts w:ascii="Tahoma" w:eastAsia="PMingLiU" w:hAnsi="Tahoma" w:cs="Tahoma"/>
      <w:sz w:val="16"/>
      <w:szCs w:val="16"/>
      <w:lang w:eastAsia="zh-TW"/>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3EC"/>
    <w:pPr>
      <w:spacing w:after="200"/>
    </w:pPr>
    <w:rPr>
      <w:rFonts w:ascii="Calibri" w:eastAsia="PMingLiU" w:hAnsi="Calibri" w:cs="Times New Roman"/>
      <w:sz w:val="22"/>
      <w:szCs w:val="22"/>
      <w:lang w:eastAsia="zh-TW"/>
    </w:rPr>
  </w:style>
  <w:style w:type="paragraph" w:styleId="Heading1">
    <w:name w:val="heading 1"/>
    <w:basedOn w:val="Normal"/>
    <w:link w:val="Heading1Char"/>
    <w:uiPriority w:val="9"/>
    <w:qFormat/>
    <w:rsid w:val="00C863EC"/>
    <w:pPr>
      <w:spacing w:before="100" w:beforeAutospacing="1" w:after="100" w:afterAutospacing="1"/>
      <w:jc w:val="center"/>
      <w:outlineLvl w:val="0"/>
    </w:pPr>
    <w:rPr>
      <w:rFonts w:ascii="Arial" w:eastAsia="Times New Roman" w:hAnsi="Arial"/>
      <w:b/>
      <w:bCs/>
      <w:kern w:val="36"/>
      <w:sz w:val="24"/>
      <w:szCs w:val="24"/>
      <w:lang w:val="x-none" w:eastAsia="x-none"/>
    </w:rPr>
  </w:style>
  <w:style w:type="paragraph" w:styleId="Heading2">
    <w:name w:val="heading 2"/>
    <w:basedOn w:val="Normal"/>
    <w:next w:val="Normal"/>
    <w:link w:val="Heading2Char"/>
    <w:uiPriority w:val="9"/>
    <w:unhideWhenUsed/>
    <w:qFormat/>
    <w:rsid w:val="00C863EC"/>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E75BF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63EC"/>
    <w:rPr>
      <w:rFonts w:ascii="Arial" w:eastAsia="Times New Roman" w:hAnsi="Arial" w:cs="Times New Roman"/>
      <w:b/>
      <w:bCs/>
      <w:kern w:val="36"/>
      <w:lang w:val="x-none" w:eastAsia="x-none"/>
    </w:rPr>
  </w:style>
  <w:style w:type="character" w:customStyle="1" w:styleId="Heading2Char">
    <w:name w:val="Heading 2 Char"/>
    <w:basedOn w:val="DefaultParagraphFont"/>
    <w:link w:val="Heading2"/>
    <w:uiPriority w:val="9"/>
    <w:rsid w:val="00C863EC"/>
    <w:rPr>
      <w:rFonts w:asciiTheme="majorHAnsi" w:eastAsiaTheme="majorEastAsia" w:hAnsiTheme="majorHAnsi" w:cstheme="majorBidi"/>
      <w:b/>
      <w:bCs/>
      <w:i/>
      <w:iCs/>
      <w:sz w:val="28"/>
      <w:szCs w:val="28"/>
      <w:lang w:eastAsia="zh-TW"/>
    </w:rPr>
  </w:style>
  <w:style w:type="character" w:styleId="Hyperlink">
    <w:name w:val="Hyperlink"/>
    <w:uiPriority w:val="99"/>
    <w:unhideWhenUsed/>
    <w:rsid w:val="00C863EC"/>
    <w:rPr>
      <w:color w:val="0000FF"/>
      <w:u w:val="single"/>
    </w:rPr>
  </w:style>
  <w:style w:type="character" w:customStyle="1" w:styleId="authors">
    <w:name w:val="authors"/>
    <w:rsid w:val="00C863EC"/>
  </w:style>
  <w:style w:type="paragraph" w:customStyle="1" w:styleId="NoteLevel21">
    <w:name w:val="Note Level 21"/>
    <w:basedOn w:val="Normal"/>
    <w:uiPriority w:val="1"/>
    <w:qFormat/>
    <w:rsid w:val="00C863EC"/>
    <w:pPr>
      <w:keepNext/>
      <w:numPr>
        <w:ilvl w:val="1"/>
        <w:numId w:val="8"/>
      </w:numPr>
      <w:contextualSpacing/>
      <w:outlineLvl w:val="1"/>
    </w:pPr>
    <w:rPr>
      <w:rFonts w:ascii="Verdana" w:hAnsi="Verdana"/>
    </w:rPr>
  </w:style>
  <w:style w:type="paragraph" w:styleId="NormalWeb">
    <w:name w:val="Normal (Web)"/>
    <w:basedOn w:val="Normal"/>
    <w:uiPriority w:val="99"/>
    <w:unhideWhenUsed/>
    <w:rsid w:val="00F47290"/>
    <w:pPr>
      <w:spacing w:before="100" w:beforeAutospacing="1" w:after="100" w:afterAutospacing="1"/>
    </w:pPr>
    <w:rPr>
      <w:rFonts w:ascii="Times New Roman" w:eastAsia="Times New Roman" w:hAnsi="Times New Roman"/>
      <w:color w:val="000000"/>
      <w:sz w:val="24"/>
      <w:szCs w:val="24"/>
    </w:rPr>
  </w:style>
  <w:style w:type="character" w:styleId="Emphasis">
    <w:name w:val="Emphasis"/>
    <w:uiPriority w:val="20"/>
    <w:qFormat/>
    <w:rsid w:val="00F47290"/>
    <w:rPr>
      <w:i/>
      <w:iCs/>
    </w:rPr>
  </w:style>
  <w:style w:type="character" w:styleId="Strong">
    <w:name w:val="Strong"/>
    <w:uiPriority w:val="22"/>
    <w:qFormat/>
    <w:rsid w:val="00F47290"/>
    <w:rPr>
      <w:b/>
      <w:bCs/>
    </w:rPr>
  </w:style>
  <w:style w:type="character" w:customStyle="1" w:styleId="a-size-large">
    <w:name w:val="a-size-large"/>
    <w:rsid w:val="00F47290"/>
  </w:style>
  <w:style w:type="paragraph" w:styleId="Footer">
    <w:name w:val="footer"/>
    <w:basedOn w:val="Normal"/>
    <w:link w:val="FooterChar"/>
    <w:uiPriority w:val="99"/>
    <w:unhideWhenUsed/>
    <w:rsid w:val="00F47290"/>
    <w:pPr>
      <w:tabs>
        <w:tab w:val="center" w:pos="4320"/>
        <w:tab w:val="right" w:pos="8640"/>
      </w:tabs>
      <w:spacing w:after="0"/>
    </w:pPr>
  </w:style>
  <w:style w:type="character" w:customStyle="1" w:styleId="FooterChar">
    <w:name w:val="Footer Char"/>
    <w:basedOn w:val="DefaultParagraphFont"/>
    <w:link w:val="Footer"/>
    <w:uiPriority w:val="99"/>
    <w:rsid w:val="00F47290"/>
    <w:rPr>
      <w:rFonts w:ascii="Calibri" w:eastAsia="PMingLiU" w:hAnsi="Calibri" w:cs="Times New Roman"/>
      <w:sz w:val="22"/>
      <w:szCs w:val="22"/>
      <w:lang w:eastAsia="zh-TW"/>
    </w:rPr>
  </w:style>
  <w:style w:type="character" w:styleId="PageNumber">
    <w:name w:val="page number"/>
    <w:basedOn w:val="DefaultParagraphFont"/>
    <w:uiPriority w:val="99"/>
    <w:semiHidden/>
    <w:unhideWhenUsed/>
    <w:rsid w:val="00F47290"/>
  </w:style>
  <w:style w:type="character" w:customStyle="1" w:styleId="Heading3Char">
    <w:name w:val="Heading 3 Char"/>
    <w:basedOn w:val="DefaultParagraphFont"/>
    <w:link w:val="Heading3"/>
    <w:uiPriority w:val="9"/>
    <w:rsid w:val="00E75BFA"/>
    <w:rPr>
      <w:rFonts w:asciiTheme="majorHAnsi" w:eastAsiaTheme="majorEastAsia" w:hAnsiTheme="majorHAnsi" w:cstheme="majorBidi"/>
      <w:b/>
      <w:bCs/>
      <w:color w:val="4F81BD" w:themeColor="accent1"/>
      <w:sz w:val="22"/>
      <w:szCs w:val="22"/>
      <w:lang w:eastAsia="zh-TW"/>
    </w:rPr>
  </w:style>
  <w:style w:type="paragraph" w:customStyle="1" w:styleId="Default">
    <w:name w:val="Default"/>
    <w:rsid w:val="003405D8"/>
    <w:pPr>
      <w:autoSpaceDE w:val="0"/>
      <w:autoSpaceDN w:val="0"/>
      <w:adjustRightInd w:val="0"/>
    </w:pPr>
    <w:rPr>
      <w:rFonts w:ascii="Myriad Pro SemiCond" w:hAnsi="Myriad Pro SemiCond" w:cs="Myriad Pro SemiCond"/>
      <w:color w:val="000000"/>
    </w:rPr>
  </w:style>
  <w:style w:type="paragraph" w:customStyle="1" w:styleId="Pa2">
    <w:name w:val="Pa2"/>
    <w:basedOn w:val="Default"/>
    <w:next w:val="Default"/>
    <w:uiPriority w:val="99"/>
    <w:rsid w:val="003405D8"/>
    <w:pPr>
      <w:spacing w:line="161" w:lineRule="atLeast"/>
    </w:pPr>
    <w:rPr>
      <w:rFonts w:cstheme="minorBidi"/>
      <w:color w:val="auto"/>
    </w:rPr>
  </w:style>
  <w:style w:type="paragraph" w:styleId="ListParagraph">
    <w:name w:val="List Paragraph"/>
    <w:basedOn w:val="Normal"/>
    <w:uiPriority w:val="34"/>
    <w:qFormat/>
    <w:rsid w:val="00D240EC"/>
    <w:pPr>
      <w:ind w:left="720"/>
      <w:contextualSpacing/>
    </w:pPr>
  </w:style>
  <w:style w:type="character" w:customStyle="1" w:styleId="rwrro">
    <w:name w:val="rwrro"/>
    <w:basedOn w:val="DefaultParagraphFont"/>
    <w:rsid w:val="00A11A9C"/>
  </w:style>
  <w:style w:type="character" w:customStyle="1" w:styleId="apple-converted-space">
    <w:name w:val="apple-converted-space"/>
    <w:basedOn w:val="DefaultParagraphFont"/>
    <w:rsid w:val="00A11A9C"/>
  </w:style>
  <w:style w:type="character" w:styleId="HTMLCite">
    <w:name w:val="HTML Cite"/>
    <w:basedOn w:val="DefaultParagraphFont"/>
    <w:uiPriority w:val="99"/>
    <w:semiHidden/>
    <w:unhideWhenUsed/>
    <w:rsid w:val="004E4B28"/>
    <w:rPr>
      <w:i/>
      <w:iCs/>
    </w:rPr>
  </w:style>
  <w:style w:type="paragraph" w:styleId="BalloonText">
    <w:name w:val="Balloon Text"/>
    <w:basedOn w:val="Normal"/>
    <w:link w:val="BalloonTextChar"/>
    <w:uiPriority w:val="99"/>
    <w:semiHidden/>
    <w:unhideWhenUsed/>
    <w:rsid w:val="005E108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1081"/>
    <w:rPr>
      <w:rFonts w:ascii="Tahoma" w:eastAsia="PMingLiU" w:hAnsi="Tahoma" w:cs="Tahoma"/>
      <w:sz w:val="16"/>
      <w:szCs w:val="16"/>
      <w:lang w:eastAsia="zh-TW"/>
    </w:rPr>
  </w:style>
</w:styles>
</file>

<file path=word/webSettings.xml><?xml version="1.0" encoding="utf-8"?>
<w:webSettings xmlns:r="http://schemas.openxmlformats.org/officeDocument/2006/relationships" xmlns:w="http://schemas.openxmlformats.org/wordprocessingml/2006/main">
  <w:divs>
    <w:div w:id="9572493">
      <w:bodyDiv w:val="1"/>
      <w:marLeft w:val="0"/>
      <w:marRight w:val="0"/>
      <w:marTop w:val="0"/>
      <w:marBottom w:val="0"/>
      <w:divBdr>
        <w:top w:val="none" w:sz="0" w:space="0" w:color="auto"/>
        <w:left w:val="none" w:sz="0" w:space="0" w:color="auto"/>
        <w:bottom w:val="none" w:sz="0" w:space="0" w:color="auto"/>
        <w:right w:val="none" w:sz="0" w:space="0" w:color="auto"/>
      </w:divBdr>
    </w:div>
    <w:div w:id="440489909">
      <w:bodyDiv w:val="1"/>
      <w:marLeft w:val="0"/>
      <w:marRight w:val="0"/>
      <w:marTop w:val="0"/>
      <w:marBottom w:val="0"/>
      <w:divBdr>
        <w:top w:val="none" w:sz="0" w:space="0" w:color="auto"/>
        <w:left w:val="none" w:sz="0" w:space="0" w:color="auto"/>
        <w:bottom w:val="none" w:sz="0" w:space="0" w:color="auto"/>
        <w:right w:val="none" w:sz="0" w:space="0" w:color="auto"/>
      </w:divBdr>
    </w:div>
    <w:div w:id="600530806">
      <w:bodyDiv w:val="1"/>
      <w:marLeft w:val="0"/>
      <w:marRight w:val="0"/>
      <w:marTop w:val="0"/>
      <w:marBottom w:val="0"/>
      <w:divBdr>
        <w:top w:val="none" w:sz="0" w:space="0" w:color="auto"/>
        <w:left w:val="none" w:sz="0" w:space="0" w:color="auto"/>
        <w:bottom w:val="none" w:sz="0" w:space="0" w:color="auto"/>
        <w:right w:val="none" w:sz="0" w:space="0" w:color="auto"/>
      </w:divBdr>
      <w:divsChild>
        <w:div w:id="831683522">
          <w:marLeft w:val="0"/>
          <w:marRight w:val="0"/>
          <w:marTop w:val="0"/>
          <w:marBottom w:val="0"/>
          <w:divBdr>
            <w:top w:val="none" w:sz="0" w:space="0" w:color="auto"/>
            <w:left w:val="none" w:sz="0" w:space="0" w:color="auto"/>
            <w:bottom w:val="none" w:sz="0" w:space="0" w:color="auto"/>
            <w:right w:val="none" w:sz="0" w:space="0" w:color="auto"/>
          </w:divBdr>
        </w:div>
        <w:div w:id="2069299792">
          <w:marLeft w:val="0"/>
          <w:marRight w:val="0"/>
          <w:marTop w:val="0"/>
          <w:marBottom w:val="0"/>
          <w:divBdr>
            <w:top w:val="none" w:sz="0" w:space="0" w:color="auto"/>
            <w:left w:val="none" w:sz="0" w:space="0" w:color="auto"/>
            <w:bottom w:val="none" w:sz="0" w:space="0" w:color="auto"/>
            <w:right w:val="none" w:sz="0" w:space="0" w:color="auto"/>
          </w:divBdr>
        </w:div>
        <w:div w:id="1289433429">
          <w:marLeft w:val="0"/>
          <w:marRight w:val="0"/>
          <w:marTop w:val="0"/>
          <w:marBottom w:val="0"/>
          <w:divBdr>
            <w:top w:val="none" w:sz="0" w:space="0" w:color="auto"/>
            <w:left w:val="none" w:sz="0" w:space="0" w:color="auto"/>
            <w:bottom w:val="none" w:sz="0" w:space="0" w:color="auto"/>
            <w:right w:val="none" w:sz="0" w:space="0" w:color="auto"/>
          </w:divBdr>
        </w:div>
      </w:divsChild>
    </w:div>
    <w:div w:id="948515225">
      <w:bodyDiv w:val="1"/>
      <w:marLeft w:val="0"/>
      <w:marRight w:val="0"/>
      <w:marTop w:val="0"/>
      <w:marBottom w:val="0"/>
      <w:divBdr>
        <w:top w:val="none" w:sz="0" w:space="0" w:color="auto"/>
        <w:left w:val="none" w:sz="0" w:space="0" w:color="auto"/>
        <w:bottom w:val="none" w:sz="0" w:space="0" w:color="auto"/>
        <w:right w:val="none" w:sz="0" w:space="0" w:color="auto"/>
      </w:divBdr>
    </w:div>
    <w:div w:id="1821381234">
      <w:bodyDiv w:val="1"/>
      <w:marLeft w:val="0"/>
      <w:marRight w:val="0"/>
      <w:marTop w:val="0"/>
      <w:marBottom w:val="0"/>
      <w:divBdr>
        <w:top w:val="none" w:sz="0" w:space="0" w:color="auto"/>
        <w:left w:val="none" w:sz="0" w:space="0" w:color="auto"/>
        <w:bottom w:val="none" w:sz="0" w:space="0" w:color="auto"/>
        <w:right w:val="none" w:sz="0" w:space="0" w:color="auto"/>
      </w:divBdr>
    </w:div>
    <w:div w:id="20765825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eraldinsight.com/action/doSearch?ContribStored=Andrew%2C+K" TargetMode="External"/><Relationship Id="rId13" Type="http://schemas.openxmlformats.org/officeDocument/2006/relationships/hyperlink" Target="http://www.emeraldinsight.com/action/doSearch?ContribStored=Watkins%2C+T" TargetMode="External"/><Relationship Id="rId18"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emeraldinsight.com/action/doSearch?ContribStored=Surtani%2C+J+B" TargetMode="External"/><Relationship Id="rId17"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eraldinsight.com/action/doSearch?ContribStored=Ser+Heng%2C+L" TargetMode="External"/><Relationship Id="rId5" Type="http://schemas.openxmlformats.org/officeDocument/2006/relationships/webSettings" Target="webSettings.xml"/><Relationship Id="rId15" Type="http://schemas.openxmlformats.org/officeDocument/2006/relationships/diagramLayout" Target="diagrams/layout1.xml"/><Relationship Id="rId23" Type="http://schemas.microsoft.com/office/2007/relationships/stylesWithEffects" Target="stylesWithEffects.xml"/><Relationship Id="rId10" Type="http://schemas.openxmlformats.org/officeDocument/2006/relationships/hyperlink" Target="http://www.emeraldinsight.com/action/doSearch?ContribStored=McCullough%2C+J"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meraldinsight.com/action/doSearch?ContribStored=Kaynak%2C+E" TargetMode="External"/><Relationship Id="rId14" Type="http://schemas.openxmlformats.org/officeDocument/2006/relationships/diagramData" Target="diagrams/data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70C601E-9C65-4178-AC08-CBCE9EF42664}" type="doc">
      <dgm:prSet loTypeId="urn:microsoft.com/office/officeart/2005/8/layout/pyramid1" loCatId="pyramid" qsTypeId="urn:microsoft.com/office/officeart/2005/8/quickstyle/simple1" qsCatId="simple" csTypeId="urn:microsoft.com/office/officeart/2005/8/colors/accent1_2" csCatId="accent1" phldr="1"/>
      <dgm:spPr/>
    </dgm:pt>
    <dgm:pt modelId="{7FED506E-40EC-4F69-8DC9-DBE64C73DC7F}">
      <dgm:prSet phldrT="[Text]" custT="1"/>
      <dgm:spPr/>
      <dgm:t>
        <a:bodyPr/>
        <a:lstStyle/>
        <a:p>
          <a:endParaRPr lang="en-US" sz="1800"/>
        </a:p>
        <a:p>
          <a:r>
            <a:rPr lang="en-US" sz="1800"/>
            <a:t>UHNW</a:t>
          </a:r>
        </a:p>
      </dgm:t>
    </dgm:pt>
    <dgm:pt modelId="{940F6181-19FE-42C9-B184-82B9DB7F5D80}" type="parTrans" cxnId="{5BE1E9AD-F533-4D46-B5CC-DCE97EFC6499}">
      <dgm:prSet/>
      <dgm:spPr/>
      <dgm:t>
        <a:bodyPr/>
        <a:lstStyle/>
        <a:p>
          <a:endParaRPr lang="en-US"/>
        </a:p>
      </dgm:t>
    </dgm:pt>
    <dgm:pt modelId="{89CEBF67-1399-4C81-824D-F7903F0805C0}" type="sibTrans" cxnId="{5BE1E9AD-F533-4D46-B5CC-DCE97EFC6499}">
      <dgm:prSet/>
      <dgm:spPr/>
      <dgm:t>
        <a:bodyPr/>
        <a:lstStyle/>
        <a:p>
          <a:endParaRPr lang="en-US"/>
        </a:p>
      </dgm:t>
    </dgm:pt>
    <dgm:pt modelId="{14461564-A883-48EA-8AEE-B7DB61B736DD}">
      <dgm:prSet phldrT="[Text]" custT="1"/>
      <dgm:spPr/>
      <dgm:t>
        <a:bodyPr/>
        <a:lstStyle/>
        <a:p>
          <a:r>
            <a:rPr lang="en-US" sz="1800"/>
            <a:t>HNW</a:t>
          </a:r>
        </a:p>
      </dgm:t>
    </dgm:pt>
    <dgm:pt modelId="{CA415D77-6E49-497E-AA4B-0AF5AA51EC89}" type="parTrans" cxnId="{961A8051-52D9-4EBA-8DCB-1C2D946F0E15}">
      <dgm:prSet/>
      <dgm:spPr/>
      <dgm:t>
        <a:bodyPr/>
        <a:lstStyle/>
        <a:p>
          <a:endParaRPr lang="en-US"/>
        </a:p>
      </dgm:t>
    </dgm:pt>
    <dgm:pt modelId="{1145106D-A877-4623-A168-98629F84FBB2}" type="sibTrans" cxnId="{961A8051-52D9-4EBA-8DCB-1C2D946F0E15}">
      <dgm:prSet/>
      <dgm:spPr/>
      <dgm:t>
        <a:bodyPr/>
        <a:lstStyle/>
        <a:p>
          <a:endParaRPr lang="en-US"/>
        </a:p>
      </dgm:t>
    </dgm:pt>
    <dgm:pt modelId="{C717FF28-5564-4F7F-BC8D-55E505D6FA1C}">
      <dgm:prSet phldrT="[Text]" custT="1"/>
      <dgm:spPr/>
      <dgm:t>
        <a:bodyPr/>
        <a:lstStyle/>
        <a:p>
          <a:r>
            <a:rPr lang="en-US" sz="1800"/>
            <a:t>Priority banking</a:t>
          </a:r>
        </a:p>
      </dgm:t>
    </dgm:pt>
    <dgm:pt modelId="{71924660-BC18-4CC0-AFAC-D2A1BB31D33B}" type="parTrans" cxnId="{EF152014-0752-45E5-A995-9FCE02C52C0E}">
      <dgm:prSet/>
      <dgm:spPr/>
      <dgm:t>
        <a:bodyPr/>
        <a:lstStyle/>
        <a:p>
          <a:endParaRPr lang="en-US"/>
        </a:p>
      </dgm:t>
    </dgm:pt>
    <dgm:pt modelId="{FCD10286-7610-4618-894B-FFC8196C9146}" type="sibTrans" cxnId="{EF152014-0752-45E5-A995-9FCE02C52C0E}">
      <dgm:prSet/>
      <dgm:spPr/>
      <dgm:t>
        <a:bodyPr/>
        <a:lstStyle/>
        <a:p>
          <a:endParaRPr lang="en-US"/>
        </a:p>
      </dgm:t>
    </dgm:pt>
    <dgm:pt modelId="{5B95041D-08E7-499A-A3D0-6AFB07D19C9C}">
      <dgm:prSet phldrT="[Text]" custT="1"/>
      <dgm:spPr/>
      <dgm:t>
        <a:bodyPr/>
        <a:lstStyle/>
        <a:p>
          <a:r>
            <a:rPr lang="en-US" sz="1800"/>
            <a:t>Mass retail</a:t>
          </a:r>
        </a:p>
      </dgm:t>
    </dgm:pt>
    <dgm:pt modelId="{9EB8BDE8-077A-49FD-B226-79104AD692C3}" type="parTrans" cxnId="{86C8BC14-97C8-4B09-BF7C-02CF399F4409}">
      <dgm:prSet/>
      <dgm:spPr/>
      <dgm:t>
        <a:bodyPr/>
        <a:lstStyle/>
        <a:p>
          <a:endParaRPr lang="en-US"/>
        </a:p>
      </dgm:t>
    </dgm:pt>
    <dgm:pt modelId="{2EE885B4-22F6-48D1-A885-A142DFEDAF1C}" type="sibTrans" cxnId="{86C8BC14-97C8-4B09-BF7C-02CF399F4409}">
      <dgm:prSet/>
      <dgm:spPr/>
      <dgm:t>
        <a:bodyPr/>
        <a:lstStyle/>
        <a:p>
          <a:endParaRPr lang="en-US"/>
        </a:p>
      </dgm:t>
    </dgm:pt>
    <dgm:pt modelId="{D6FD68DE-2963-457E-8DF2-384B191E4B87}" type="pres">
      <dgm:prSet presAssocID="{770C601E-9C65-4178-AC08-CBCE9EF42664}" presName="Name0" presStyleCnt="0">
        <dgm:presLayoutVars>
          <dgm:dir/>
          <dgm:animLvl val="lvl"/>
          <dgm:resizeHandles val="exact"/>
        </dgm:presLayoutVars>
      </dgm:prSet>
      <dgm:spPr/>
    </dgm:pt>
    <dgm:pt modelId="{98A2F9E2-1DEC-49B1-8D5A-00416F59FCBC}" type="pres">
      <dgm:prSet presAssocID="{7FED506E-40EC-4F69-8DC9-DBE64C73DC7F}" presName="Name8" presStyleCnt="0"/>
      <dgm:spPr/>
    </dgm:pt>
    <dgm:pt modelId="{315E52A4-7D24-491D-B2A5-F8CEF8D1F513}" type="pres">
      <dgm:prSet presAssocID="{7FED506E-40EC-4F69-8DC9-DBE64C73DC7F}" presName="level" presStyleLbl="node1" presStyleIdx="0" presStyleCnt="4" custLinFactNeighborX="0">
        <dgm:presLayoutVars>
          <dgm:chMax val="1"/>
          <dgm:bulletEnabled val="1"/>
        </dgm:presLayoutVars>
      </dgm:prSet>
      <dgm:spPr/>
      <dgm:t>
        <a:bodyPr/>
        <a:lstStyle/>
        <a:p>
          <a:endParaRPr lang="en-US"/>
        </a:p>
      </dgm:t>
    </dgm:pt>
    <dgm:pt modelId="{A6A987C6-F25D-4FE0-835C-B3B676388243}" type="pres">
      <dgm:prSet presAssocID="{7FED506E-40EC-4F69-8DC9-DBE64C73DC7F}" presName="levelTx" presStyleLbl="revTx" presStyleIdx="0" presStyleCnt="0">
        <dgm:presLayoutVars>
          <dgm:chMax val="1"/>
          <dgm:bulletEnabled val="1"/>
        </dgm:presLayoutVars>
      </dgm:prSet>
      <dgm:spPr/>
      <dgm:t>
        <a:bodyPr/>
        <a:lstStyle/>
        <a:p>
          <a:endParaRPr lang="en-US"/>
        </a:p>
      </dgm:t>
    </dgm:pt>
    <dgm:pt modelId="{B3A8F8B9-51B4-4E3B-A580-F241D11B6843}" type="pres">
      <dgm:prSet presAssocID="{14461564-A883-48EA-8AEE-B7DB61B736DD}" presName="Name8" presStyleCnt="0"/>
      <dgm:spPr/>
    </dgm:pt>
    <dgm:pt modelId="{059A7C75-0A52-4CF1-9253-B66BEC9E1107}" type="pres">
      <dgm:prSet presAssocID="{14461564-A883-48EA-8AEE-B7DB61B736DD}" presName="level" presStyleLbl="node1" presStyleIdx="1" presStyleCnt="4">
        <dgm:presLayoutVars>
          <dgm:chMax val="1"/>
          <dgm:bulletEnabled val="1"/>
        </dgm:presLayoutVars>
      </dgm:prSet>
      <dgm:spPr/>
      <dgm:t>
        <a:bodyPr/>
        <a:lstStyle/>
        <a:p>
          <a:endParaRPr lang="en-US"/>
        </a:p>
      </dgm:t>
    </dgm:pt>
    <dgm:pt modelId="{2059A9E6-4378-497E-9912-DBCF12ADD9F8}" type="pres">
      <dgm:prSet presAssocID="{14461564-A883-48EA-8AEE-B7DB61B736DD}" presName="levelTx" presStyleLbl="revTx" presStyleIdx="0" presStyleCnt="0">
        <dgm:presLayoutVars>
          <dgm:chMax val="1"/>
          <dgm:bulletEnabled val="1"/>
        </dgm:presLayoutVars>
      </dgm:prSet>
      <dgm:spPr/>
      <dgm:t>
        <a:bodyPr/>
        <a:lstStyle/>
        <a:p>
          <a:endParaRPr lang="en-US"/>
        </a:p>
      </dgm:t>
    </dgm:pt>
    <dgm:pt modelId="{748E09E8-1689-4DBD-B83B-6520337F2C15}" type="pres">
      <dgm:prSet presAssocID="{C717FF28-5564-4F7F-BC8D-55E505D6FA1C}" presName="Name8" presStyleCnt="0"/>
      <dgm:spPr/>
    </dgm:pt>
    <dgm:pt modelId="{B082A6B2-BFCB-4F7A-9433-8740303047EC}" type="pres">
      <dgm:prSet presAssocID="{C717FF28-5564-4F7F-BC8D-55E505D6FA1C}" presName="level" presStyleLbl="node1" presStyleIdx="2" presStyleCnt="4">
        <dgm:presLayoutVars>
          <dgm:chMax val="1"/>
          <dgm:bulletEnabled val="1"/>
        </dgm:presLayoutVars>
      </dgm:prSet>
      <dgm:spPr/>
      <dgm:t>
        <a:bodyPr/>
        <a:lstStyle/>
        <a:p>
          <a:endParaRPr lang="en-US"/>
        </a:p>
      </dgm:t>
    </dgm:pt>
    <dgm:pt modelId="{8F3A56B0-61E4-4587-8A01-6ECA0FCB4F29}" type="pres">
      <dgm:prSet presAssocID="{C717FF28-5564-4F7F-BC8D-55E505D6FA1C}" presName="levelTx" presStyleLbl="revTx" presStyleIdx="0" presStyleCnt="0">
        <dgm:presLayoutVars>
          <dgm:chMax val="1"/>
          <dgm:bulletEnabled val="1"/>
        </dgm:presLayoutVars>
      </dgm:prSet>
      <dgm:spPr/>
      <dgm:t>
        <a:bodyPr/>
        <a:lstStyle/>
        <a:p>
          <a:endParaRPr lang="en-US"/>
        </a:p>
      </dgm:t>
    </dgm:pt>
    <dgm:pt modelId="{1E8DDC0E-92A4-416B-A12C-21B5E6BFF2B2}" type="pres">
      <dgm:prSet presAssocID="{5B95041D-08E7-499A-A3D0-6AFB07D19C9C}" presName="Name8" presStyleCnt="0"/>
      <dgm:spPr/>
    </dgm:pt>
    <dgm:pt modelId="{A68CE986-A6C5-40DD-BE9D-1BFB1EF59FF3}" type="pres">
      <dgm:prSet presAssocID="{5B95041D-08E7-499A-A3D0-6AFB07D19C9C}" presName="level" presStyleLbl="node1" presStyleIdx="3" presStyleCnt="4">
        <dgm:presLayoutVars>
          <dgm:chMax val="1"/>
          <dgm:bulletEnabled val="1"/>
        </dgm:presLayoutVars>
      </dgm:prSet>
      <dgm:spPr/>
      <dgm:t>
        <a:bodyPr/>
        <a:lstStyle/>
        <a:p>
          <a:endParaRPr lang="en-US"/>
        </a:p>
      </dgm:t>
    </dgm:pt>
    <dgm:pt modelId="{A20457A3-7CFE-46B1-AB86-1602121323EB}" type="pres">
      <dgm:prSet presAssocID="{5B95041D-08E7-499A-A3D0-6AFB07D19C9C}" presName="levelTx" presStyleLbl="revTx" presStyleIdx="0" presStyleCnt="0">
        <dgm:presLayoutVars>
          <dgm:chMax val="1"/>
          <dgm:bulletEnabled val="1"/>
        </dgm:presLayoutVars>
      </dgm:prSet>
      <dgm:spPr/>
      <dgm:t>
        <a:bodyPr/>
        <a:lstStyle/>
        <a:p>
          <a:endParaRPr lang="en-US"/>
        </a:p>
      </dgm:t>
    </dgm:pt>
  </dgm:ptLst>
  <dgm:cxnLst>
    <dgm:cxn modelId="{5BE8EBDC-E8C9-4F6F-967A-6374423F53E5}" type="presOf" srcId="{C717FF28-5564-4F7F-BC8D-55E505D6FA1C}" destId="{B082A6B2-BFCB-4F7A-9433-8740303047EC}" srcOrd="0" destOrd="0" presId="urn:microsoft.com/office/officeart/2005/8/layout/pyramid1"/>
    <dgm:cxn modelId="{2E616B63-ADBA-4353-9B91-006B7837D8C9}" type="presOf" srcId="{770C601E-9C65-4178-AC08-CBCE9EF42664}" destId="{D6FD68DE-2963-457E-8DF2-384B191E4B87}" srcOrd="0" destOrd="0" presId="urn:microsoft.com/office/officeart/2005/8/layout/pyramid1"/>
    <dgm:cxn modelId="{961A8051-52D9-4EBA-8DCB-1C2D946F0E15}" srcId="{770C601E-9C65-4178-AC08-CBCE9EF42664}" destId="{14461564-A883-48EA-8AEE-B7DB61B736DD}" srcOrd="1" destOrd="0" parTransId="{CA415D77-6E49-497E-AA4B-0AF5AA51EC89}" sibTransId="{1145106D-A877-4623-A168-98629F84FBB2}"/>
    <dgm:cxn modelId="{1C4CF865-B8BE-4A2A-B4EA-87C4744838F0}" type="presOf" srcId="{14461564-A883-48EA-8AEE-B7DB61B736DD}" destId="{2059A9E6-4378-497E-9912-DBCF12ADD9F8}" srcOrd="1" destOrd="0" presId="urn:microsoft.com/office/officeart/2005/8/layout/pyramid1"/>
    <dgm:cxn modelId="{A1922B9E-ECFD-465B-9F96-581C603974F9}" type="presOf" srcId="{5B95041D-08E7-499A-A3D0-6AFB07D19C9C}" destId="{A68CE986-A6C5-40DD-BE9D-1BFB1EF59FF3}" srcOrd="0" destOrd="0" presId="urn:microsoft.com/office/officeart/2005/8/layout/pyramid1"/>
    <dgm:cxn modelId="{5BE1E9AD-F533-4D46-B5CC-DCE97EFC6499}" srcId="{770C601E-9C65-4178-AC08-CBCE9EF42664}" destId="{7FED506E-40EC-4F69-8DC9-DBE64C73DC7F}" srcOrd="0" destOrd="0" parTransId="{940F6181-19FE-42C9-B184-82B9DB7F5D80}" sibTransId="{89CEBF67-1399-4C81-824D-F7903F0805C0}"/>
    <dgm:cxn modelId="{421BA4EF-FD7D-4243-B9C3-84DA12443C18}" type="presOf" srcId="{7FED506E-40EC-4F69-8DC9-DBE64C73DC7F}" destId="{315E52A4-7D24-491D-B2A5-F8CEF8D1F513}" srcOrd="0" destOrd="0" presId="urn:microsoft.com/office/officeart/2005/8/layout/pyramid1"/>
    <dgm:cxn modelId="{86C8BC14-97C8-4B09-BF7C-02CF399F4409}" srcId="{770C601E-9C65-4178-AC08-CBCE9EF42664}" destId="{5B95041D-08E7-499A-A3D0-6AFB07D19C9C}" srcOrd="3" destOrd="0" parTransId="{9EB8BDE8-077A-49FD-B226-79104AD692C3}" sibTransId="{2EE885B4-22F6-48D1-A885-A142DFEDAF1C}"/>
    <dgm:cxn modelId="{A709E5BC-82E1-431E-A9E6-12719A4E1E18}" type="presOf" srcId="{7FED506E-40EC-4F69-8DC9-DBE64C73DC7F}" destId="{A6A987C6-F25D-4FE0-835C-B3B676388243}" srcOrd="1" destOrd="0" presId="urn:microsoft.com/office/officeart/2005/8/layout/pyramid1"/>
    <dgm:cxn modelId="{9A669019-A27C-4E7D-9045-715AA4C6CB86}" type="presOf" srcId="{14461564-A883-48EA-8AEE-B7DB61B736DD}" destId="{059A7C75-0A52-4CF1-9253-B66BEC9E1107}" srcOrd="0" destOrd="0" presId="urn:microsoft.com/office/officeart/2005/8/layout/pyramid1"/>
    <dgm:cxn modelId="{FE4F0C01-0419-4A96-96AE-7F398715D976}" type="presOf" srcId="{C717FF28-5564-4F7F-BC8D-55E505D6FA1C}" destId="{8F3A56B0-61E4-4587-8A01-6ECA0FCB4F29}" srcOrd="1" destOrd="0" presId="urn:microsoft.com/office/officeart/2005/8/layout/pyramid1"/>
    <dgm:cxn modelId="{EF152014-0752-45E5-A995-9FCE02C52C0E}" srcId="{770C601E-9C65-4178-AC08-CBCE9EF42664}" destId="{C717FF28-5564-4F7F-BC8D-55E505D6FA1C}" srcOrd="2" destOrd="0" parTransId="{71924660-BC18-4CC0-AFAC-D2A1BB31D33B}" sibTransId="{FCD10286-7610-4618-894B-FFC8196C9146}"/>
    <dgm:cxn modelId="{33F8B5A0-FC16-4F92-BA06-E5841099EFA7}" type="presOf" srcId="{5B95041D-08E7-499A-A3D0-6AFB07D19C9C}" destId="{A20457A3-7CFE-46B1-AB86-1602121323EB}" srcOrd="1" destOrd="0" presId="urn:microsoft.com/office/officeart/2005/8/layout/pyramid1"/>
    <dgm:cxn modelId="{FCC4F8DC-02CD-45CE-B8ED-FAEFD62A722B}" type="presParOf" srcId="{D6FD68DE-2963-457E-8DF2-384B191E4B87}" destId="{98A2F9E2-1DEC-49B1-8D5A-00416F59FCBC}" srcOrd="0" destOrd="0" presId="urn:microsoft.com/office/officeart/2005/8/layout/pyramid1"/>
    <dgm:cxn modelId="{E4A65123-8058-4DC8-B03A-AE6FCF8D3FA2}" type="presParOf" srcId="{98A2F9E2-1DEC-49B1-8D5A-00416F59FCBC}" destId="{315E52A4-7D24-491D-B2A5-F8CEF8D1F513}" srcOrd="0" destOrd="0" presId="urn:microsoft.com/office/officeart/2005/8/layout/pyramid1"/>
    <dgm:cxn modelId="{198832E0-992F-45C2-A32B-4E77D9DC40C6}" type="presParOf" srcId="{98A2F9E2-1DEC-49B1-8D5A-00416F59FCBC}" destId="{A6A987C6-F25D-4FE0-835C-B3B676388243}" srcOrd="1" destOrd="0" presId="urn:microsoft.com/office/officeart/2005/8/layout/pyramid1"/>
    <dgm:cxn modelId="{D94E0C8D-6AC0-47CE-88F6-89974EA917E5}" type="presParOf" srcId="{D6FD68DE-2963-457E-8DF2-384B191E4B87}" destId="{B3A8F8B9-51B4-4E3B-A580-F241D11B6843}" srcOrd="1" destOrd="0" presId="urn:microsoft.com/office/officeart/2005/8/layout/pyramid1"/>
    <dgm:cxn modelId="{56C96EB7-A86C-421B-97E2-10D53CC2C720}" type="presParOf" srcId="{B3A8F8B9-51B4-4E3B-A580-F241D11B6843}" destId="{059A7C75-0A52-4CF1-9253-B66BEC9E1107}" srcOrd="0" destOrd="0" presId="urn:microsoft.com/office/officeart/2005/8/layout/pyramid1"/>
    <dgm:cxn modelId="{3FE77BF3-304F-4EE1-A35F-99F27B10F7B8}" type="presParOf" srcId="{B3A8F8B9-51B4-4E3B-A580-F241D11B6843}" destId="{2059A9E6-4378-497E-9912-DBCF12ADD9F8}" srcOrd="1" destOrd="0" presId="urn:microsoft.com/office/officeart/2005/8/layout/pyramid1"/>
    <dgm:cxn modelId="{42D8CEB0-21BD-4611-B9E7-15CCB2DD864F}" type="presParOf" srcId="{D6FD68DE-2963-457E-8DF2-384B191E4B87}" destId="{748E09E8-1689-4DBD-B83B-6520337F2C15}" srcOrd="2" destOrd="0" presId="urn:microsoft.com/office/officeart/2005/8/layout/pyramid1"/>
    <dgm:cxn modelId="{F0BF97D9-E4A2-42D0-943B-FAB39FF7BD5C}" type="presParOf" srcId="{748E09E8-1689-4DBD-B83B-6520337F2C15}" destId="{B082A6B2-BFCB-4F7A-9433-8740303047EC}" srcOrd="0" destOrd="0" presId="urn:microsoft.com/office/officeart/2005/8/layout/pyramid1"/>
    <dgm:cxn modelId="{4444062A-8D6E-4843-9CC2-DB416C63CDBD}" type="presParOf" srcId="{748E09E8-1689-4DBD-B83B-6520337F2C15}" destId="{8F3A56B0-61E4-4587-8A01-6ECA0FCB4F29}" srcOrd="1" destOrd="0" presId="urn:microsoft.com/office/officeart/2005/8/layout/pyramid1"/>
    <dgm:cxn modelId="{4FB80671-2E79-4636-BB0B-F279963D7983}" type="presParOf" srcId="{D6FD68DE-2963-457E-8DF2-384B191E4B87}" destId="{1E8DDC0E-92A4-416B-A12C-21B5E6BFF2B2}" srcOrd="3" destOrd="0" presId="urn:microsoft.com/office/officeart/2005/8/layout/pyramid1"/>
    <dgm:cxn modelId="{344BBCD7-5775-469C-AF90-9BDDD903E063}" type="presParOf" srcId="{1E8DDC0E-92A4-416B-A12C-21B5E6BFF2B2}" destId="{A68CE986-A6C5-40DD-BE9D-1BFB1EF59FF3}" srcOrd="0" destOrd="0" presId="urn:microsoft.com/office/officeart/2005/8/layout/pyramid1"/>
    <dgm:cxn modelId="{EBAD8250-674F-4E1A-A7AD-25595EE863A6}" type="presParOf" srcId="{1E8DDC0E-92A4-416B-A12C-21B5E6BFF2B2}" destId="{A20457A3-7CFE-46B1-AB86-1602121323EB}" srcOrd="1" destOrd="0" presId="urn:microsoft.com/office/officeart/2005/8/layout/pyramid1"/>
  </dgm:cxnLst>
  <dgm:bg/>
  <dgm:whole/>
  <dgm:extLst>
    <a:ext uri="http://schemas.microsoft.com/office/drawing/2008/diagram">
      <dsp:dataModelExt xmlns:dsp="http://schemas.microsoft.com/office/drawing/2008/diagram" xmlns="" relId="rId18"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315E52A4-7D24-491D-B2A5-F8CEF8D1F513}">
      <dsp:nvSpPr>
        <dsp:cNvPr id="0" name=""/>
        <dsp:cNvSpPr/>
      </dsp:nvSpPr>
      <dsp:spPr>
        <a:xfrm>
          <a:off x="2057400" y="0"/>
          <a:ext cx="1371600" cy="800100"/>
        </a:xfrm>
        <a:prstGeom prst="trapezoid">
          <a:avLst>
            <a:gd name="adj" fmla="val 85714"/>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endParaRPr lang="en-US" sz="1800" kern="1200"/>
        </a:p>
        <a:p>
          <a:pPr lvl="0" algn="ctr" defTabSz="800100">
            <a:lnSpc>
              <a:spcPct val="90000"/>
            </a:lnSpc>
            <a:spcBef>
              <a:spcPct val="0"/>
            </a:spcBef>
            <a:spcAft>
              <a:spcPct val="35000"/>
            </a:spcAft>
          </a:pPr>
          <a:r>
            <a:rPr lang="en-US" sz="1800" kern="1200"/>
            <a:t>UHNW</a:t>
          </a:r>
        </a:p>
      </dsp:txBody>
      <dsp:txXfrm>
        <a:off x="2057400" y="0"/>
        <a:ext cx="1371600" cy="800100"/>
      </dsp:txXfrm>
    </dsp:sp>
    <dsp:sp modelId="{059A7C75-0A52-4CF1-9253-B66BEC9E1107}">
      <dsp:nvSpPr>
        <dsp:cNvPr id="0" name=""/>
        <dsp:cNvSpPr/>
      </dsp:nvSpPr>
      <dsp:spPr>
        <a:xfrm>
          <a:off x="1371600" y="800100"/>
          <a:ext cx="2743200" cy="800100"/>
        </a:xfrm>
        <a:prstGeom prst="trapezoid">
          <a:avLst>
            <a:gd name="adj" fmla="val 85714"/>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en-US" sz="1800" kern="1200"/>
            <a:t>HNW</a:t>
          </a:r>
        </a:p>
      </dsp:txBody>
      <dsp:txXfrm>
        <a:off x="1851660" y="800100"/>
        <a:ext cx="1783080" cy="800100"/>
      </dsp:txXfrm>
    </dsp:sp>
    <dsp:sp modelId="{B082A6B2-BFCB-4F7A-9433-8740303047EC}">
      <dsp:nvSpPr>
        <dsp:cNvPr id="0" name=""/>
        <dsp:cNvSpPr/>
      </dsp:nvSpPr>
      <dsp:spPr>
        <a:xfrm>
          <a:off x="685799" y="1600200"/>
          <a:ext cx="4114800" cy="800100"/>
        </a:xfrm>
        <a:prstGeom prst="trapezoid">
          <a:avLst>
            <a:gd name="adj" fmla="val 85714"/>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en-US" sz="1800" kern="1200"/>
            <a:t>Priority banking</a:t>
          </a:r>
        </a:p>
      </dsp:txBody>
      <dsp:txXfrm>
        <a:off x="1405889" y="1600200"/>
        <a:ext cx="2674620" cy="800100"/>
      </dsp:txXfrm>
    </dsp:sp>
    <dsp:sp modelId="{A68CE986-A6C5-40DD-BE9D-1BFB1EF59FF3}">
      <dsp:nvSpPr>
        <dsp:cNvPr id="0" name=""/>
        <dsp:cNvSpPr/>
      </dsp:nvSpPr>
      <dsp:spPr>
        <a:xfrm>
          <a:off x="0" y="2400300"/>
          <a:ext cx="5486400" cy="800100"/>
        </a:xfrm>
        <a:prstGeom prst="trapezoid">
          <a:avLst>
            <a:gd name="adj" fmla="val 85714"/>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en-US" sz="1800" kern="1200"/>
            <a:t>Mass retail</a:t>
          </a:r>
        </a:p>
      </dsp:txBody>
      <dsp:txXfrm>
        <a:off x="960119" y="2400300"/>
        <a:ext cx="3566160" cy="800100"/>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F39AD-10F6-4747-BE95-1D3608F51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41</Pages>
  <Words>8667</Words>
  <Characters>49403</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University of North Alabama</Company>
  <LinksUpToDate>false</LinksUpToDate>
  <CharactersWithSpaces>57955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Armstrong</dc:creator>
  <cp:lastModifiedBy>user</cp:lastModifiedBy>
  <cp:revision>6</cp:revision>
  <dcterms:created xsi:type="dcterms:W3CDTF">2017-09-22T16:49:00Z</dcterms:created>
  <dcterms:modified xsi:type="dcterms:W3CDTF">2018-01-22T17:00:00Z</dcterms:modified>
</cp:coreProperties>
</file>